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674CB" w14:textId="34C13341" w:rsidR="00074B17" w:rsidRPr="00CF3C28" w:rsidRDefault="008D20AD" w:rsidP="00CF3C28">
      <w:pPr>
        <w:pStyle w:val="Prrafodelista"/>
        <w:jc w:val="both"/>
        <w:rPr>
          <w:rFonts w:ascii="Humanst521 BT" w:hAnsi="Humanst521 BT"/>
          <w:sz w:val="24"/>
          <w:szCs w:val="24"/>
        </w:rPr>
      </w:pPr>
      <w:r w:rsidRPr="00CF3C28">
        <w:rPr>
          <w:rFonts w:ascii="Humanst521 BT" w:hAnsi="Humanst521 BT"/>
          <w:sz w:val="24"/>
          <w:szCs w:val="24"/>
        </w:rPr>
        <w:t xml:space="preserve">Modelo: Modelo de madurez </w:t>
      </w:r>
      <w:r w:rsidR="00C14364" w:rsidRPr="00CF3C28">
        <w:rPr>
          <w:rFonts w:ascii="Humanst521 BT" w:hAnsi="Humanst521 BT"/>
          <w:sz w:val="24"/>
          <w:szCs w:val="24"/>
        </w:rPr>
        <w:t xml:space="preserve">de </w:t>
      </w:r>
      <w:r w:rsidR="00271DFD" w:rsidRPr="00CF3C28">
        <w:rPr>
          <w:rFonts w:ascii="Humanst521 BT" w:hAnsi="Humanst521 BT"/>
          <w:sz w:val="24"/>
          <w:szCs w:val="24"/>
        </w:rPr>
        <w:t>la capacidad de transformación digital (DX-CMM)</w:t>
      </w:r>
    </w:p>
    <w:p w14:paraId="6B9B6367"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Características:</w:t>
      </w:r>
    </w:p>
    <w:p w14:paraId="44C2A734" w14:textId="741E87EC" w:rsidR="008E627A" w:rsidRPr="008E627A" w:rsidRDefault="00540D5A" w:rsidP="008E627A">
      <w:pPr>
        <w:pStyle w:val="Prrafodelista"/>
        <w:jc w:val="both"/>
        <w:rPr>
          <w:rFonts w:ascii="Humanst521 BT" w:hAnsi="Humanst521 BT"/>
          <w:sz w:val="24"/>
          <w:szCs w:val="24"/>
        </w:rPr>
      </w:pPr>
      <w:r>
        <w:rPr>
          <w:rFonts w:ascii="Humanst521 BT" w:hAnsi="Humanst521 BT"/>
          <w:sz w:val="24"/>
          <w:szCs w:val="24"/>
        </w:rPr>
        <w:t>Enfoque: Holístico</w:t>
      </w:r>
      <w:r w:rsidR="003C51B5">
        <w:rPr>
          <w:rFonts w:ascii="Humanst521 BT" w:hAnsi="Humanst521 BT"/>
          <w:sz w:val="24"/>
          <w:szCs w:val="24"/>
        </w:rPr>
        <w:t xml:space="preserve"> e integrado</w:t>
      </w:r>
      <w:r w:rsidR="008E627A">
        <w:rPr>
          <w:rFonts w:ascii="Humanst521 BT" w:hAnsi="Humanst521 BT"/>
          <w:sz w:val="24"/>
          <w:szCs w:val="24"/>
        </w:rPr>
        <w:t xml:space="preserve"> (</w:t>
      </w:r>
      <w:r w:rsidR="008E627A" w:rsidRPr="008E627A">
        <w:rPr>
          <w:rFonts w:ascii="Humanst521 BT" w:hAnsi="Humanst521 BT"/>
          <w:sz w:val="24"/>
          <w:szCs w:val="24"/>
        </w:rPr>
        <w:t>Considera múltiples dimensiones como procesos, tecnología, organización y cultura</w:t>
      </w:r>
      <w:r w:rsidR="008E627A">
        <w:rPr>
          <w:rFonts w:ascii="Humanst521 BT" w:hAnsi="Humanst521 BT"/>
          <w:sz w:val="24"/>
          <w:szCs w:val="24"/>
        </w:rPr>
        <w:t>)</w:t>
      </w:r>
    </w:p>
    <w:p w14:paraId="6178F9FC" w14:textId="1B842A3A" w:rsidR="003C51B5" w:rsidRDefault="003C51B5" w:rsidP="003C51B5">
      <w:pPr>
        <w:pStyle w:val="Prrafodelista"/>
        <w:jc w:val="both"/>
        <w:rPr>
          <w:rFonts w:ascii="Humanst521 BT" w:hAnsi="Humanst521 BT"/>
          <w:sz w:val="24"/>
          <w:szCs w:val="24"/>
        </w:rPr>
      </w:pPr>
      <w:r>
        <w:rPr>
          <w:rFonts w:ascii="Humanst521 BT" w:hAnsi="Humanst521 BT"/>
          <w:sz w:val="24"/>
          <w:szCs w:val="24"/>
        </w:rPr>
        <w:t>Aplicabilidad: en todos los sectores</w:t>
      </w:r>
    </w:p>
    <w:p w14:paraId="109FC8D0" w14:textId="2AD5EA09" w:rsidR="00C93322" w:rsidRPr="003C51B5" w:rsidRDefault="00C93322" w:rsidP="003C51B5">
      <w:pPr>
        <w:pStyle w:val="Prrafodelista"/>
        <w:jc w:val="both"/>
        <w:rPr>
          <w:rFonts w:ascii="Humanst521 BT" w:hAnsi="Humanst521 BT"/>
          <w:sz w:val="24"/>
          <w:szCs w:val="24"/>
        </w:rPr>
      </w:pPr>
      <w:r>
        <w:rPr>
          <w:rFonts w:ascii="Humanst521 BT" w:hAnsi="Humanst521 BT"/>
          <w:sz w:val="24"/>
          <w:szCs w:val="24"/>
        </w:rPr>
        <w:t>Desarrollo: Basado en un modelo de madurez de capacidad de proceso (SPICE)</w:t>
      </w:r>
    </w:p>
    <w:p w14:paraId="2A4E7CBD" w14:textId="3DCBD098" w:rsidR="00A873C3" w:rsidRPr="00CF3C28" w:rsidRDefault="00A873C3" w:rsidP="00CF3C28">
      <w:pPr>
        <w:pStyle w:val="Prrafodelista"/>
        <w:jc w:val="both"/>
        <w:rPr>
          <w:rFonts w:ascii="Humanst521 BT" w:hAnsi="Humanst521 BT"/>
          <w:sz w:val="24"/>
          <w:szCs w:val="24"/>
        </w:rPr>
      </w:pPr>
      <w:r w:rsidRPr="00CF3C28">
        <w:rPr>
          <w:rFonts w:ascii="Humanst521 BT" w:hAnsi="Humanst521 BT"/>
          <w:sz w:val="24"/>
          <w:szCs w:val="24"/>
        </w:rPr>
        <w:t>Eval</w:t>
      </w:r>
      <w:r w:rsidR="00CB0C2F" w:rsidRPr="00CF3C28">
        <w:rPr>
          <w:rFonts w:ascii="Humanst521 BT" w:hAnsi="Humanst521 BT"/>
          <w:sz w:val="24"/>
          <w:szCs w:val="24"/>
        </w:rPr>
        <w:t xml:space="preserve">úa </w:t>
      </w:r>
      <w:r w:rsidRPr="00CF3C28">
        <w:rPr>
          <w:rFonts w:ascii="Humanst521 BT" w:hAnsi="Humanst521 BT"/>
          <w:sz w:val="24"/>
          <w:szCs w:val="24"/>
        </w:rPr>
        <w:t>los procesos de DX en detalle</w:t>
      </w:r>
      <w:r w:rsidR="00223A3D">
        <w:rPr>
          <w:rFonts w:ascii="Humanst521 BT" w:hAnsi="Humanst521 BT"/>
          <w:sz w:val="24"/>
          <w:szCs w:val="24"/>
        </w:rPr>
        <w:t xml:space="preserve"> (</w:t>
      </w:r>
      <w:r w:rsidR="00223A3D" w:rsidRPr="00223A3D">
        <w:rPr>
          <w:rFonts w:ascii="Humanst521 BT" w:hAnsi="Humanst521 BT"/>
          <w:sz w:val="24"/>
          <w:szCs w:val="24"/>
        </w:rPr>
        <w:t>Permite a las organizaciones realizar evaluaciones periódicas para identificar áreas de mejora</w:t>
      </w:r>
      <w:r w:rsidR="00223A3D">
        <w:rPr>
          <w:rFonts w:ascii="Humanst521 BT" w:hAnsi="Humanst521 BT"/>
          <w:sz w:val="24"/>
          <w:szCs w:val="24"/>
        </w:rPr>
        <w:t>)</w:t>
      </w:r>
    </w:p>
    <w:p w14:paraId="75D8EA9C" w14:textId="60EABEF2" w:rsidR="00622DC5" w:rsidRPr="00CF3C28" w:rsidRDefault="00622DC5" w:rsidP="00CF3C28">
      <w:pPr>
        <w:pStyle w:val="Prrafodelista"/>
        <w:jc w:val="both"/>
        <w:rPr>
          <w:rFonts w:ascii="Humanst521 BT" w:hAnsi="Humanst521 BT"/>
          <w:sz w:val="24"/>
          <w:szCs w:val="24"/>
        </w:rPr>
      </w:pPr>
      <w:r w:rsidRPr="00CF3C28">
        <w:rPr>
          <w:rFonts w:ascii="Humanst521 BT" w:hAnsi="Humanst521 BT"/>
          <w:sz w:val="24"/>
          <w:szCs w:val="24"/>
        </w:rPr>
        <w:t>Proporciona orientación para identificar el nivel actual de madurez de DX de la organización.</w:t>
      </w:r>
    </w:p>
    <w:p w14:paraId="23FDE7FC" w14:textId="777D068F" w:rsidR="00622DC5" w:rsidRPr="00CF3C28" w:rsidRDefault="00622DC5" w:rsidP="00CF3C28">
      <w:pPr>
        <w:pStyle w:val="Prrafodelista"/>
        <w:jc w:val="both"/>
        <w:rPr>
          <w:rFonts w:ascii="Humanst521 BT" w:hAnsi="Humanst521 BT"/>
          <w:sz w:val="24"/>
          <w:szCs w:val="24"/>
        </w:rPr>
      </w:pPr>
      <w:r w:rsidRPr="00CF3C28">
        <w:rPr>
          <w:rFonts w:ascii="Humanst521 BT" w:hAnsi="Humanst521 BT"/>
          <w:sz w:val="24"/>
          <w:szCs w:val="24"/>
        </w:rPr>
        <w:t xml:space="preserve">Muestra </w:t>
      </w:r>
      <w:r w:rsidR="00451389" w:rsidRPr="00CF3C28">
        <w:rPr>
          <w:rFonts w:ascii="Humanst521 BT" w:hAnsi="Humanst521 BT"/>
          <w:sz w:val="24"/>
          <w:szCs w:val="24"/>
        </w:rPr>
        <w:t>oportunidades de mejora para pasar al siguiente nivel de madurez de DX</w:t>
      </w:r>
      <w:r w:rsidRPr="00CF3C28">
        <w:rPr>
          <w:rFonts w:ascii="Humanst521 BT" w:hAnsi="Humanst521 BT"/>
          <w:sz w:val="24"/>
          <w:szCs w:val="24"/>
        </w:rPr>
        <w:t>.</w:t>
      </w:r>
    </w:p>
    <w:p w14:paraId="4A7261A5" w14:textId="2EC83305" w:rsidR="00CB0C2F" w:rsidRDefault="00451389" w:rsidP="00CF3C28">
      <w:pPr>
        <w:pStyle w:val="Prrafodelista"/>
        <w:jc w:val="both"/>
        <w:rPr>
          <w:rFonts w:ascii="Humanst521 BT" w:hAnsi="Humanst521 BT"/>
          <w:sz w:val="24"/>
          <w:szCs w:val="24"/>
        </w:rPr>
      </w:pPr>
      <w:r w:rsidRPr="00CF3C28">
        <w:rPr>
          <w:rFonts w:ascii="Humanst521 BT" w:hAnsi="Humanst521 BT"/>
          <w:sz w:val="24"/>
          <w:szCs w:val="24"/>
        </w:rPr>
        <w:t>Compara la organización con otras organizaciones evaluadas</w:t>
      </w:r>
      <w:r w:rsidR="0036741E" w:rsidRPr="00CF3C28">
        <w:rPr>
          <w:rFonts w:ascii="Humanst521 BT" w:hAnsi="Humanst521 BT"/>
          <w:sz w:val="24"/>
          <w:szCs w:val="24"/>
        </w:rPr>
        <w:t xml:space="preserve"> con </w:t>
      </w:r>
      <w:proofErr w:type="gramStart"/>
      <w:r w:rsidR="0036741E" w:rsidRPr="00CF3C28">
        <w:rPr>
          <w:rFonts w:ascii="Humanst521 BT" w:hAnsi="Humanst521 BT"/>
          <w:sz w:val="24"/>
          <w:szCs w:val="24"/>
        </w:rPr>
        <w:t xml:space="preserve">el </w:t>
      </w:r>
      <w:r w:rsidRPr="00CF3C28">
        <w:rPr>
          <w:rFonts w:ascii="Humanst521 BT" w:hAnsi="Humanst521 BT"/>
          <w:sz w:val="24"/>
          <w:szCs w:val="24"/>
        </w:rPr>
        <w:t xml:space="preserve"> DX</w:t>
      </w:r>
      <w:proofErr w:type="gramEnd"/>
      <w:r w:rsidR="0036741E" w:rsidRPr="00CF3C28">
        <w:rPr>
          <w:rFonts w:ascii="Humanst521 BT" w:hAnsi="Humanst521 BT"/>
          <w:sz w:val="24"/>
          <w:szCs w:val="24"/>
        </w:rPr>
        <w:t>-CMM</w:t>
      </w:r>
      <w:r w:rsidR="00152D54">
        <w:rPr>
          <w:rFonts w:ascii="Humanst521 BT" w:hAnsi="Humanst521 BT"/>
          <w:sz w:val="24"/>
          <w:szCs w:val="24"/>
        </w:rPr>
        <w:t>.</w:t>
      </w:r>
    </w:p>
    <w:p w14:paraId="074AD9BC" w14:textId="5CAC9D66" w:rsidR="00152D54" w:rsidRDefault="0029786F" w:rsidP="00CF3C28">
      <w:pPr>
        <w:pStyle w:val="Prrafodelista"/>
        <w:jc w:val="both"/>
        <w:rPr>
          <w:rFonts w:ascii="Humanst521 BT" w:hAnsi="Humanst521 BT"/>
          <w:sz w:val="24"/>
          <w:szCs w:val="24"/>
        </w:rPr>
      </w:pPr>
      <w:r>
        <w:rPr>
          <w:rFonts w:ascii="Humanst521 BT" w:hAnsi="Humanst521 BT"/>
          <w:sz w:val="24"/>
          <w:szCs w:val="24"/>
        </w:rPr>
        <w:t xml:space="preserve">Dimensiones: el modelo comprende dos dimensiones, </w:t>
      </w:r>
      <w:r w:rsidRPr="0029786F">
        <w:rPr>
          <w:rFonts w:ascii="Humanst521 BT" w:hAnsi="Humanst521 BT"/>
          <w:b/>
          <w:bCs/>
          <w:sz w:val="24"/>
          <w:szCs w:val="24"/>
        </w:rPr>
        <w:t>procesos</w:t>
      </w:r>
      <w:r>
        <w:rPr>
          <w:rFonts w:ascii="Humanst521 BT" w:hAnsi="Humanst521 BT"/>
          <w:sz w:val="24"/>
          <w:szCs w:val="24"/>
        </w:rPr>
        <w:t xml:space="preserve"> y </w:t>
      </w:r>
      <w:r w:rsidRPr="0029786F">
        <w:rPr>
          <w:rFonts w:ascii="Humanst521 BT" w:hAnsi="Humanst521 BT"/>
          <w:b/>
          <w:bCs/>
          <w:sz w:val="24"/>
          <w:szCs w:val="24"/>
        </w:rPr>
        <w:t>capacidad</w:t>
      </w:r>
      <w:r>
        <w:rPr>
          <w:rFonts w:ascii="Humanst521 BT" w:hAnsi="Humanst521 BT"/>
          <w:sz w:val="24"/>
          <w:szCs w:val="24"/>
        </w:rPr>
        <w:t>.</w:t>
      </w:r>
    </w:p>
    <w:p w14:paraId="63B8256D" w14:textId="54E05D29" w:rsidR="00697ED9" w:rsidRDefault="00697ED9" w:rsidP="00697ED9">
      <w:pPr>
        <w:pStyle w:val="Prrafodelista"/>
        <w:numPr>
          <w:ilvl w:val="0"/>
          <w:numId w:val="2"/>
        </w:numPr>
        <w:jc w:val="both"/>
        <w:rPr>
          <w:rFonts w:ascii="Humanst521 BT" w:hAnsi="Humanst521 BT"/>
          <w:sz w:val="24"/>
          <w:szCs w:val="24"/>
        </w:rPr>
      </w:pPr>
      <w:r>
        <w:rPr>
          <w:rFonts w:ascii="Humanst521 BT" w:hAnsi="Humanst521 BT"/>
          <w:sz w:val="24"/>
          <w:szCs w:val="24"/>
        </w:rPr>
        <w:t>Proceso: incluye definiciones de procesos de desarrollo de software</w:t>
      </w:r>
      <w:r w:rsidR="00EC2D7F">
        <w:rPr>
          <w:rFonts w:ascii="Humanst521 BT" w:hAnsi="Humanst521 BT"/>
          <w:sz w:val="24"/>
          <w:szCs w:val="24"/>
        </w:rPr>
        <w:t xml:space="preserve">. </w:t>
      </w:r>
      <w:r w:rsidR="00EC2D7F" w:rsidRPr="00EC2D7F">
        <w:rPr>
          <w:rFonts w:ascii="Humanst521 BT" w:hAnsi="Humanst521 BT"/>
          <w:sz w:val="24"/>
          <w:szCs w:val="24"/>
        </w:rPr>
        <w:t>la dimensión del proceso del DX-CMM consta de 26 procesos DX definidos en 4 grupos de procesos de gobernanza estratégica, información y tecnología, transformación de procesos digitales y gestión de la fuerza laboral</w:t>
      </w:r>
      <w:r w:rsidR="00EC2D7F">
        <w:rPr>
          <w:rFonts w:ascii="Humanst521 BT" w:hAnsi="Humanst521 BT"/>
          <w:sz w:val="24"/>
          <w:szCs w:val="24"/>
        </w:rPr>
        <w:t>.</w:t>
      </w:r>
    </w:p>
    <w:p w14:paraId="30D66574" w14:textId="6A2A5541" w:rsidR="00697ED9" w:rsidRDefault="00697ED9" w:rsidP="00697ED9">
      <w:pPr>
        <w:pStyle w:val="Prrafodelista"/>
        <w:numPr>
          <w:ilvl w:val="0"/>
          <w:numId w:val="2"/>
        </w:numPr>
        <w:jc w:val="both"/>
        <w:rPr>
          <w:rFonts w:ascii="Humanst521 BT" w:hAnsi="Humanst521 BT"/>
          <w:sz w:val="24"/>
          <w:szCs w:val="24"/>
        </w:rPr>
      </w:pPr>
      <w:r>
        <w:rPr>
          <w:rFonts w:ascii="Humanst521 BT" w:hAnsi="Humanst521 BT"/>
          <w:sz w:val="24"/>
          <w:szCs w:val="24"/>
        </w:rPr>
        <w:t xml:space="preserve">Capacidad: </w:t>
      </w:r>
      <w:r w:rsidR="00380031">
        <w:rPr>
          <w:rFonts w:ascii="Humanst521 BT" w:hAnsi="Humanst521 BT"/>
          <w:sz w:val="24"/>
          <w:szCs w:val="24"/>
        </w:rPr>
        <w:t xml:space="preserve">consta de niveles de capacidad de </w:t>
      </w:r>
      <w:proofErr w:type="spellStart"/>
      <w:proofErr w:type="gramStart"/>
      <w:r w:rsidR="00380031">
        <w:rPr>
          <w:rFonts w:ascii="Humanst521 BT" w:hAnsi="Humanst521 BT"/>
          <w:sz w:val="24"/>
          <w:szCs w:val="24"/>
        </w:rPr>
        <w:t>proceso,que</w:t>
      </w:r>
      <w:proofErr w:type="spellEnd"/>
      <w:proofErr w:type="gramEnd"/>
      <w:r w:rsidR="00380031">
        <w:rPr>
          <w:rFonts w:ascii="Humanst521 BT" w:hAnsi="Humanst521 BT"/>
          <w:sz w:val="24"/>
          <w:szCs w:val="24"/>
        </w:rPr>
        <w:t>,</w:t>
      </w:r>
      <w:r w:rsidR="00862705" w:rsidRPr="00862705">
        <w:t xml:space="preserve"> </w:t>
      </w:r>
      <w:r w:rsidR="00862705" w:rsidRPr="00862705">
        <w:rPr>
          <w:rFonts w:ascii="Humanst521 BT" w:hAnsi="Humanst521 BT"/>
          <w:sz w:val="24"/>
          <w:szCs w:val="24"/>
        </w:rPr>
        <w:t>a su vez, se componen de atributos de proceso (PA), incluidas prácticas base (BP) para el Nivel 1 y prácticas genéricas (GP) que cubren el Nivel 2 al Nivel 5.</w:t>
      </w:r>
    </w:p>
    <w:p w14:paraId="42E55400" w14:textId="69FFD88E" w:rsidR="00FD4F05" w:rsidRDefault="00FD4F05" w:rsidP="00FD4F05">
      <w:pPr>
        <w:jc w:val="both"/>
        <w:rPr>
          <w:rFonts w:ascii="Humanst521 BT" w:hAnsi="Humanst521 BT"/>
          <w:sz w:val="24"/>
          <w:szCs w:val="24"/>
          <w:u w:val="single"/>
        </w:rPr>
      </w:pPr>
      <w:r w:rsidRPr="00FD4F05">
        <w:rPr>
          <w:rFonts w:ascii="Humanst521 BT" w:hAnsi="Humanst521 BT"/>
          <w:sz w:val="24"/>
          <w:szCs w:val="24"/>
          <w:u w:val="single"/>
        </w:rPr>
        <w:t>Gobernanza estratégica:</w:t>
      </w:r>
      <w:r w:rsidR="00BF2AAA">
        <w:rPr>
          <w:rFonts w:ascii="Humanst521 BT" w:hAnsi="Humanst521 BT"/>
          <w:sz w:val="24"/>
          <w:szCs w:val="24"/>
          <w:u w:val="single"/>
        </w:rPr>
        <w:t xml:space="preserve"> </w:t>
      </w:r>
      <w:r w:rsidR="00BF2AAA" w:rsidRPr="00BF2AAA">
        <w:rPr>
          <w:rFonts w:ascii="Humanst521 BT" w:hAnsi="Humanst521 BT"/>
          <w:sz w:val="24"/>
          <w:szCs w:val="24"/>
        </w:rPr>
        <w:t>La estrategia DX debe liderarse desde arriba, con una visión sólida, clara e inspiradora de cómo las tecnologías emergentes pueden crear un nuevo futuro con valor compartido (Tao y otros, 2017). Las organizaciones deben crear su hoja de ruta DX, que se genera en función de su visión</w:t>
      </w:r>
    </w:p>
    <w:p w14:paraId="3AC2FEBE" w14:textId="7E3EDD51" w:rsidR="00FD4F05" w:rsidRPr="00850BCC" w:rsidRDefault="00B713F1" w:rsidP="00FD4F05">
      <w:pPr>
        <w:jc w:val="both"/>
        <w:rPr>
          <w:rFonts w:ascii="Humanst521 BT" w:hAnsi="Humanst521 BT"/>
          <w:sz w:val="24"/>
          <w:szCs w:val="24"/>
        </w:rPr>
      </w:pPr>
      <w:r>
        <w:rPr>
          <w:rFonts w:ascii="Humanst521 BT" w:hAnsi="Humanst521 BT"/>
          <w:sz w:val="24"/>
          <w:szCs w:val="24"/>
          <w:u w:val="single"/>
        </w:rPr>
        <w:t>Información y tecnologías:</w:t>
      </w:r>
      <w:r w:rsidR="00850BCC">
        <w:rPr>
          <w:rFonts w:ascii="Humanst521 BT" w:hAnsi="Humanst521 BT"/>
          <w:sz w:val="24"/>
          <w:szCs w:val="24"/>
          <w:u w:val="single"/>
        </w:rPr>
        <w:t xml:space="preserve"> </w:t>
      </w:r>
      <w:r w:rsidR="00850BCC" w:rsidRPr="00850BCC">
        <w:rPr>
          <w:rFonts w:ascii="Humanst521 BT" w:hAnsi="Humanst521 BT"/>
          <w:sz w:val="24"/>
          <w:szCs w:val="24"/>
        </w:rPr>
        <w:t>Se debe desarrollar una estrategia de TI que esté alineada con la estrategia DX de la organización para la migración al entorno futuro deseado.</w:t>
      </w:r>
    </w:p>
    <w:p w14:paraId="5D6DC9AF" w14:textId="4D0BA3C2" w:rsidR="00B713F1" w:rsidRDefault="00B713F1" w:rsidP="00FD4F05">
      <w:pPr>
        <w:jc w:val="both"/>
        <w:rPr>
          <w:rFonts w:ascii="Humanst521 BT" w:hAnsi="Humanst521 BT"/>
          <w:sz w:val="24"/>
          <w:szCs w:val="24"/>
          <w:u w:val="single"/>
        </w:rPr>
      </w:pPr>
      <w:r>
        <w:rPr>
          <w:rFonts w:ascii="Humanst521 BT" w:hAnsi="Humanst521 BT"/>
          <w:sz w:val="24"/>
          <w:szCs w:val="24"/>
          <w:u w:val="single"/>
        </w:rPr>
        <w:t>Transformación de procesos digitales:</w:t>
      </w:r>
      <w:r w:rsidR="002C1494">
        <w:rPr>
          <w:rFonts w:ascii="Humanst521 BT" w:hAnsi="Humanst521 BT"/>
          <w:sz w:val="24"/>
          <w:szCs w:val="24"/>
          <w:u w:val="single"/>
        </w:rPr>
        <w:t xml:space="preserve"> </w:t>
      </w:r>
      <w:r w:rsidR="002C1494" w:rsidRPr="002C1494">
        <w:rPr>
          <w:rFonts w:ascii="Humanst521 BT" w:hAnsi="Humanst521 BT"/>
          <w:sz w:val="24"/>
          <w:szCs w:val="24"/>
        </w:rPr>
        <w:t>Esto incluye la digitalización de los procesos de negocio a través de la tecnología para reducir costos y aumentar la productividad;</w:t>
      </w:r>
    </w:p>
    <w:p w14:paraId="286B281C" w14:textId="4DA86E7A" w:rsidR="00B713F1" w:rsidRDefault="00C82FDB" w:rsidP="00FD4F05">
      <w:pPr>
        <w:jc w:val="both"/>
        <w:rPr>
          <w:rFonts w:ascii="Humanst521 BT" w:hAnsi="Humanst521 BT"/>
          <w:sz w:val="24"/>
          <w:szCs w:val="24"/>
        </w:rPr>
      </w:pPr>
      <w:r>
        <w:rPr>
          <w:rFonts w:ascii="Humanst521 BT" w:hAnsi="Humanst521 BT"/>
          <w:sz w:val="24"/>
          <w:szCs w:val="24"/>
          <w:u w:val="single"/>
        </w:rPr>
        <w:t>Administración de personal:</w:t>
      </w:r>
      <w:r w:rsidR="00465016">
        <w:rPr>
          <w:rFonts w:ascii="Humanst521 BT" w:hAnsi="Humanst521 BT"/>
          <w:sz w:val="24"/>
          <w:szCs w:val="24"/>
          <w:u w:val="single"/>
        </w:rPr>
        <w:t xml:space="preserve"> </w:t>
      </w:r>
      <w:r w:rsidR="00465016" w:rsidRPr="00465016">
        <w:rPr>
          <w:rFonts w:ascii="Humanst521 BT" w:hAnsi="Humanst521 BT"/>
          <w:sz w:val="24"/>
          <w:szCs w:val="24"/>
        </w:rPr>
        <w:t xml:space="preserve">El cambio cultural debe implementarse antes de que comience el proceso de transformación. El desarrollo de habilidades de recursos humanos (RRHH), la gestión de la estructura organizacional, la gestión del aprendizaje sostenible y la gestión del cambio organizacional son esenciales para el viaje DX de las </w:t>
      </w:r>
      <w:r w:rsidR="00870118">
        <w:rPr>
          <w:rFonts w:ascii="Humanst521 BT" w:hAnsi="Humanst521 BT"/>
          <w:sz w:val="24"/>
          <w:szCs w:val="24"/>
        </w:rPr>
        <w:t>organizaciones</w:t>
      </w:r>
    </w:p>
    <w:p w14:paraId="15BB18D7" w14:textId="544C3EFF" w:rsidR="0036534F" w:rsidRPr="00FD4F05" w:rsidRDefault="0036534F" w:rsidP="004A4068">
      <w:pPr>
        <w:jc w:val="right"/>
        <w:rPr>
          <w:rFonts w:ascii="Humanst521 BT" w:hAnsi="Humanst521 BT"/>
          <w:sz w:val="24"/>
          <w:szCs w:val="24"/>
          <w:u w:val="single"/>
        </w:rPr>
      </w:pPr>
      <w:commentRangeStart w:id="0"/>
      <w:r w:rsidRPr="0036534F">
        <w:rPr>
          <w:rFonts w:ascii="Humanst521 BT" w:hAnsi="Humanst521 BT"/>
          <w:noProof/>
          <w:sz w:val="24"/>
          <w:szCs w:val="24"/>
          <w:u w:val="single"/>
        </w:rPr>
        <w:lastRenderedPageBreak/>
        <w:drawing>
          <wp:anchor distT="0" distB="0" distL="114300" distR="114300" simplePos="0" relativeHeight="251658240" behindDoc="0" locked="0" layoutInCell="1" allowOverlap="1" wp14:anchorId="6157CF49" wp14:editId="34325252">
            <wp:simplePos x="1084521" y="903767"/>
            <wp:positionH relativeFrom="column">
              <wp:align>left</wp:align>
            </wp:positionH>
            <wp:positionV relativeFrom="paragraph">
              <wp:align>top</wp:align>
            </wp:positionV>
            <wp:extent cx="5612130" cy="2879725"/>
            <wp:effectExtent l="0" t="0" r="7620" b="0"/>
            <wp:wrapSquare wrapText="bothSides"/>
            <wp:docPr id="14456849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84981" name=""/>
                    <pic:cNvPicPr/>
                  </pic:nvPicPr>
                  <pic:blipFill>
                    <a:blip r:embed="rId5">
                      <a:extLst>
                        <a:ext uri="{28A0092B-C50C-407E-A947-70E740481C1C}">
                          <a14:useLocalDpi xmlns:a14="http://schemas.microsoft.com/office/drawing/2010/main" val="0"/>
                        </a:ext>
                      </a:extLst>
                    </a:blip>
                    <a:stretch>
                      <a:fillRect/>
                    </a:stretch>
                  </pic:blipFill>
                  <pic:spPr>
                    <a:xfrm>
                      <a:off x="0" y="0"/>
                      <a:ext cx="5612130" cy="2879725"/>
                    </a:xfrm>
                    <a:prstGeom prst="rect">
                      <a:avLst/>
                    </a:prstGeom>
                  </pic:spPr>
                </pic:pic>
              </a:graphicData>
            </a:graphic>
          </wp:anchor>
        </w:drawing>
      </w:r>
      <w:r w:rsidR="004A4068">
        <w:rPr>
          <w:rFonts w:ascii="Humanst521 BT" w:hAnsi="Humanst521 BT"/>
          <w:sz w:val="24"/>
          <w:szCs w:val="24"/>
          <w:u w:val="single"/>
        </w:rPr>
        <w:t>IMAGEN</w:t>
      </w:r>
      <w:commentRangeEnd w:id="0"/>
      <w:r w:rsidR="004A4068">
        <w:rPr>
          <w:rStyle w:val="Refdecomentario"/>
        </w:rPr>
        <w:commentReference w:id="0"/>
      </w:r>
      <w:r w:rsidR="00870118">
        <w:rPr>
          <w:rFonts w:ascii="Humanst521 BT" w:hAnsi="Humanst521 BT"/>
          <w:sz w:val="24"/>
          <w:szCs w:val="24"/>
          <w:u w:val="single"/>
        </w:rPr>
        <w:br w:type="textWrapping" w:clear="all"/>
      </w:r>
    </w:p>
    <w:p w14:paraId="4341698B"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Fortalezas</w:t>
      </w:r>
    </w:p>
    <w:p w14:paraId="56C33460" w14:textId="21B9127C" w:rsidR="00080C74" w:rsidRPr="00080C74" w:rsidRDefault="00080C74" w:rsidP="00080C74">
      <w:pPr>
        <w:pStyle w:val="Prrafodelista"/>
        <w:jc w:val="both"/>
        <w:rPr>
          <w:rFonts w:ascii="Humanst521 BT" w:hAnsi="Humanst521 BT"/>
          <w:sz w:val="24"/>
          <w:szCs w:val="24"/>
        </w:rPr>
      </w:pPr>
      <w:r w:rsidRPr="00080C74">
        <w:rPr>
          <w:rFonts w:ascii="Humanst521 BT" w:hAnsi="Humanst521 BT"/>
          <w:sz w:val="24"/>
          <w:szCs w:val="24"/>
        </w:rPr>
        <w:t>Guía práctica: Proporciona un marco claro para que las organizaciones evalúen su estado actual y planifiquen mejoras.</w:t>
      </w:r>
    </w:p>
    <w:p w14:paraId="19BD1EEB" w14:textId="6A4ECA6C" w:rsidR="00080C74" w:rsidRPr="00080C74" w:rsidRDefault="00080C74" w:rsidP="00080C74">
      <w:pPr>
        <w:pStyle w:val="Prrafodelista"/>
        <w:jc w:val="both"/>
        <w:rPr>
          <w:rFonts w:ascii="Humanst521 BT" w:hAnsi="Humanst521 BT"/>
          <w:sz w:val="24"/>
          <w:szCs w:val="24"/>
        </w:rPr>
      </w:pPr>
      <w:r w:rsidRPr="00080C74">
        <w:rPr>
          <w:rFonts w:ascii="Humanst521 BT" w:hAnsi="Humanst521 BT"/>
          <w:sz w:val="24"/>
          <w:szCs w:val="24"/>
        </w:rPr>
        <w:t>Flexibilidad: Se puede adaptar a diferentes contextos y sectores industriales.</w:t>
      </w:r>
    </w:p>
    <w:p w14:paraId="6B41035D" w14:textId="4CAC3483" w:rsidR="00223A3D" w:rsidRPr="00080C74" w:rsidRDefault="00080C74" w:rsidP="00080C74">
      <w:pPr>
        <w:pStyle w:val="Prrafodelista"/>
        <w:jc w:val="both"/>
        <w:rPr>
          <w:rFonts w:ascii="Humanst521 BT" w:hAnsi="Humanst521 BT"/>
          <w:sz w:val="24"/>
          <w:szCs w:val="24"/>
        </w:rPr>
      </w:pPr>
      <w:r w:rsidRPr="00080C74">
        <w:rPr>
          <w:rFonts w:ascii="Humanst521 BT" w:hAnsi="Humanst521 BT"/>
          <w:sz w:val="24"/>
          <w:szCs w:val="24"/>
        </w:rPr>
        <w:t>Mejora continua: Fomenta un ciclo de mejora continua en la madurez digital</w:t>
      </w:r>
    </w:p>
    <w:p w14:paraId="654AAE92" w14:textId="77777777" w:rsidR="00223A3D" w:rsidRPr="00CF3C28" w:rsidRDefault="00223A3D" w:rsidP="00223A3D">
      <w:pPr>
        <w:pStyle w:val="Prrafodelista"/>
        <w:jc w:val="both"/>
        <w:rPr>
          <w:rFonts w:ascii="Humanst521 BT" w:hAnsi="Humanst521 BT"/>
          <w:b/>
          <w:bCs/>
          <w:sz w:val="24"/>
          <w:szCs w:val="24"/>
        </w:rPr>
      </w:pPr>
    </w:p>
    <w:p w14:paraId="3F7ACE8A"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Debilidades</w:t>
      </w:r>
    </w:p>
    <w:p w14:paraId="59755685" w14:textId="3406CBA1" w:rsidR="00CB2BD6" w:rsidRPr="00CB2BD6" w:rsidRDefault="00CB2BD6" w:rsidP="00CB2BD6">
      <w:pPr>
        <w:pStyle w:val="Prrafodelista"/>
        <w:jc w:val="both"/>
        <w:rPr>
          <w:rFonts w:ascii="Humanst521 BT" w:hAnsi="Humanst521 BT"/>
          <w:sz w:val="24"/>
          <w:szCs w:val="24"/>
        </w:rPr>
      </w:pPr>
      <w:r w:rsidRPr="00CB2BD6">
        <w:rPr>
          <w:rFonts w:ascii="Humanst521 BT" w:hAnsi="Humanst521 BT"/>
          <w:sz w:val="24"/>
          <w:szCs w:val="24"/>
        </w:rPr>
        <w:t>Complejidad en la implementación: La transición a niveles más altos de madurez puede ser compleja y requerir un cambio cultural significativo.</w:t>
      </w:r>
    </w:p>
    <w:p w14:paraId="0585130C" w14:textId="07827D1F" w:rsidR="00CB2BD6" w:rsidRPr="00CB2BD6" w:rsidRDefault="00CB2BD6" w:rsidP="00CB2BD6">
      <w:pPr>
        <w:pStyle w:val="Prrafodelista"/>
        <w:jc w:val="both"/>
        <w:rPr>
          <w:rFonts w:ascii="Humanst521 BT" w:hAnsi="Humanst521 BT"/>
          <w:sz w:val="24"/>
          <w:szCs w:val="24"/>
        </w:rPr>
      </w:pPr>
      <w:r w:rsidRPr="00CB2BD6">
        <w:rPr>
          <w:rFonts w:ascii="Humanst521 BT" w:hAnsi="Humanst521 BT"/>
          <w:sz w:val="24"/>
          <w:szCs w:val="24"/>
        </w:rPr>
        <w:t>Dependencia del compromiso: El éxito del modelo depende del compromiso de la alta dirección y de los empleados.</w:t>
      </w:r>
    </w:p>
    <w:p w14:paraId="19CE5FBE" w14:textId="77777777" w:rsidR="00080C74" w:rsidRPr="00CF3C28" w:rsidRDefault="00080C74" w:rsidP="00080C74">
      <w:pPr>
        <w:pStyle w:val="Prrafodelista"/>
        <w:jc w:val="both"/>
        <w:rPr>
          <w:rFonts w:ascii="Humanst521 BT" w:hAnsi="Humanst521 BT"/>
          <w:b/>
          <w:bCs/>
          <w:sz w:val="24"/>
          <w:szCs w:val="24"/>
        </w:rPr>
      </w:pPr>
    </w:p>
    <w:p w14:paraId="65526430"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 xml:space="preserve">Relevancia </w:t>
      </w:r>
    </w:p>
    <w:p w14:paraId="455A5F53" w14:textId="77777777" w:rsidR="00B5361A" w:rsidRDefault="00576165" w:rsidP="00576165">
      <w:pPr>
        <w:pStyle w:val="Prrafodelista"/>
        <w:jc w:val="both"/>
        <w:rPr>
          <w:rFonts w:ascii="Humanst521 BT" w:hAnsi="Humanst521 BT"/>
          <w:sz w:val="24"/>
          <w:szCs w:val="24"/>
        </w:rPr>
      </w:pPr>
      <w:r>
        <w:rPr>
          <w:rFonts w:ascii="Humanst521 BT" w:hAnsi="Humanst521 BT"/>
          <w:sz w:val="24"/>
          <w:szCs w:val="24"/>
        </w:rPr>
        <w:t>E</w:t>
      </w:r>
      <w:r w:rsidRPr="00576165">
        <w:rPr>
          <w:rFonts w:ascii="Humanst521 BT" w:hAnsi="Humanst521 BT"/>
          <w:sz w:val="24"/>
          <w:szCs w:val="24"/>
        </w:rPr>
        <w:t xml:space="preserve">l DX-CMM propone una línea de base para iniciar y sostener un ciclo de vida de mejora continua para los procesos DX de una manera bien estructurada. </w:t>
      </w:r>
    </w:p>
    <w:p w14:paraId="52DEDB61" w14:textId="3707D1CA" w:rsidR="00576165" w:rsidRDefault="00576165" w:rsidP="00576165">
      <w:pPr>
        <w:pStyle w:val="Prrafodelista"/>
        <w:jc w:val="both"/>
        <w:rPr>
          <w:rFonts w:ascii="Humanst521 BT" w:hAnsi="Humanst521 BT"/>
          <w:sz w:val="24"/>
          <w:szCs w:val="24"/>
        </w:rPr>
      </w:pPr>
      <w:r w:rsidRPr="00576165">
        <w:rPr>
          <w:rFonts w:ascii="Humanst521 BT" w:hAnsi="Humanst521 BT"/>
          <w:sz w:val="24"/>
          <w:szCs w:val="24"/>
        </w:rPr>
        <w:t>Proporciona una evaluación detallada del estado actual de madurez de DX</w:t>
      </w:r>
    </w:p>
    <w:p w14:paraId="7812916B" w14:textId="77777777" w:rsidR="00123CAA" w:rsidRDefault="00123CAA" w:rsidP="00576165">
      <w:pPr>
        <w:pStyle w:val="Prrafodelista"/>
        <w:jc w:val="both"/>
        <w:rPr>
          <w:rFonts w:ascii="Humanst521 BT" w:hAnsi="Humanst521 BT"/>
          <w:sz w:val="24"/>
          <w:szCs w:val="24"/>
        </w:rPr>
      </w:pPr>
    </w:p>
    <w:p w14:paraId="3D13099A" w14:textId="6DE2B896" w:rsidR="00123CAA" w:rsidRDefault="00123CAA" w:rsidP="00123CAA">
      <w:pPr>
        <w:pStyle w:val="Prrafodelista"/>
        <w:jc w:val="both"/>
        <w:rPr>
          <w:rFonts w:ascii="Humanst521 BT" w:hAnsi="Humanst521 BT"/>
          <w:sz w:val="24"/>
          <w:szCs w:val="24"/>
        </w:rPr>
      </w:pPr>
      <w:r w:rsidRPr="00123CAA">
        <w:rPr>
          <w:rFonts w:ascii="Humanst521 BT" w:hAnsi="Humanst521 BT"/>
          <w:sz w:val="24"/>
          <w:szCs w:val="24"/>
        </w:rPr>
        <w:t>El informe de evaluación identificó un total de 122 oportunidades de mejora para avanzar en la madurez de DX, lo que demuestra la importancia de tener un marco estructurado para guiar a las organizaciones en su proceso de digitalización.</w:t>
      </w:r>
    </w:p>
    <w:p w14:paraId="2AD655DD" w14:textId="77777777" w:rsidR="00123CAA" w:rsidRPr="00123CAA" w:rsidRDefault="00123CAA" w:rsidP="00123CAA">
      <w:pPr>
        <w:pStyle w:val="Prrafodelista"/>
        <w:jc w:val="both"/>
        <w:rPr>
          <w:rFonts w:ascii="Humanst521 BT" w:hAnsi="Humanst521 BT"/>
          <w:sz w:val="24"/>
          <w:szCs w:val="24"/>
        </w:rPr>
      </w:pPr>
    </w:p>
    <w:p w14:paraId="5BA4163A" w14:textId="066B4B41" w:rsidR="0054592E" w:rsidRDefault="00123CAA" w:rsidP="00123CAA">
      <w:pPr>
        <w:pStyle w:val="Prrafodelista"/>
        <w:jc w:val="both"/>
        <w:rPr>
          <w:rFonts w:ascii="Humanst521 BT" w:hAnsi="Humanst521 BT"/>
          <w:sz w:val="24"/>
          <w:szCs w:val="24"/>
        </w:rPr>
      </w:pPr>
      <w:r w:rsidRPr="00123CAA">
        <w:rPr>
          <w:rFonts w:ascii="Humanst521 BT" w:hAnsi="Humanst521 BT"/>
          <w:sz w:val="24"/>
          <w:szCs w:val="24"/>
        </w:rPr>
        <w:t xml:space="preserve">Visibilidad </w:t>
      </w:r>
      <w:r>
        <w:rPr>
          <w:rFonts w:ascii="Humanst521 BT" w:hAnsi="Humanst521 BT"/>
          <w:sz w:val="24"/>
          <w:szCs w:val="24"/>
        </w:rPr>
        <w:t>o</w:t>
      </w:r>
      <w:r w:rsidRPr="00123CAA">
        <w:rPr>
          <w:rFonts w:ascii="Humanst521 BT" w:hAnsi="Humanst521 BT"/>
          <w:sz w:val="24"/>
          <w:szCs w:val="24"/>
        </w:rPr>
        <w:t xml:space="preserve">perativa: La implementación del modelo ayuda a aumentar la transparencia y la visibilidad operativa en toda la cadena de suministro, lo que es </w:t>
      </w:r>
      <w:r>
        <w:rPr>
          <w:rFonts w:ascii="Humanst521 BT" w:hAnsi="Humanst521 BT"/>
          <w:sz w:val="24"/>
          <w:szCs w:val="24"/>
        </w:rPr>
        <w:lastRenderedPageBreak/>
        <w:t>importante</w:t>
      </w:r>
      <w:r w:rsidRPr="00123CAA">
        <w:rPr>
          <w:rFonts w:ascii="Humanst521 BT" w:hAnsi="Humanst521 BT"/>
          <w:sz w:val="24"/>
          <w:szCs w:val="24"/>
        </w:rPr>
        <w:t xml:space="preserve"> para la toma de decisiones informadas en un entorno industrial cada vez más complejo</w:t>
      </w:r>
    </w:p>
    <w:p w14:paraId="13D5BDE2" w14:textId="77777777" w:rsidR="00123CAA" w:rsidRPr="00576165" w:rsidRDefault="00123CAA" w:rsidP="00123CAA">
      <w:pPr>
        <w:pStyle w:val="Prrafodelista"/>
        <w:jc w:val="both"/>
        <w:rPr>
          <w:rFonts w:ascii="Humanst521 BT" w:hAnsi="Humanst521 BT"/>
          <w:sz w:val="24"/>
          <w:szCs w:val="24"/>
        </w:rPr>
      </w:pPr>
    </w:p>
    <w:p w14:paraId="3F22E986" w14:textId="7EFDA0D6" w:rsidR="00DF6622" w:rsidRDefault="00DF6622" w:rsidP="00CF3C28">
      <w:pPr>
        <w:pStyle w:val="Prrafodelista"/>
        <w:numPr>
          <w:ilvl w:val="0"/>
          <w:numId w:val="1"/>
        </w:numPr>
        <w:jc w:val="both"/>
        <w:rPr>
          <w:rFonts w:ascii="Humanst521 BT" w:hAnsi="Humanst521 BT"/>
          <w:b/>
          <w:bCs/>
          <w:sz w:val="24"/>
          <w:szCs w:val="24"/>
        </w:rPr>
      </w:pPr>
      <w:r>
        <w:rPr>
          <w:rFonts w:ascii="Humanst521 BT" w:hAnsi="Humanst521 BT"/>
          <w:b/>
          <w:bCs/>
          <w:sz w:val="24"/>
          <w:szCs w:val="24"/>
        </w:rPr>
        <w:t>Aplicabilidad</w:t>
      </w:r>
    </w:p>
    <w:p w14:paraId="4FAB2264" w14:textId="2EBF984B" w:rsidR="00016452" w:rsidRPr="00016452" w:rsidRDefault="00016452" w:rsidP="00016452">
      <w:pPr>
        <w:pStyle w:val="Prrafodelista"/>
        <w:jc w:val="both"/>
        <w:rPr>
          <w:rFonts w:ascii="Humanst521 BT" w:hAnsi="Humanst521 BT"/>
          <w:sz w:val="24"/>
          <w:szCs w:val="24"/>
        </w:rPr>
      </w:pPr>
      <w:r w:rsidRPr="00016452">
        <w:rPr>
          <w:rFonts w:ascii="Humanst521 BT" w:hAnsi="Humanst521 BT"/>
          <w:sz w:val="24"/>
          <w:szCs w:val="24"/>
        </w:rPr>
        <w:t>Diversos sectores: Aunque se centra en la manufactura, el modelo puede aplicarse a otros sectores que buscan digitalizar sus procesos.</w:t>
      </w:r>
    </w:p>
    <w:p w14:paraId="7D4ADA40" w14:textId="417D5BB1" w:rsidR="00DF6622" w:rsidRPr="00016452" w:rsidRDefault="00016452" w:rsidP="00016452">
      <w:pPr>
        <w:pStyle w:val="Prrafodelista"/>
        <w:jc w:val="both"/>
        <w:rPr>
          <w:rFonts w:ascii="Humanst521 BT" w:hAnsi="Humanst521 BT"/>
          <w:sz w:val="24"/>
          <w:szCs w:val="24"/>
        </w:rPr>
      </w:pPr>
      <w:r w:rsidRPr="00016452">
        <w:rPr>
          <w:rFonts w:ascii="Humanst521 BT" w:hAnsi="Humanst521 BT"/>
          <w:sz w:val="24"/>
          <w:szCs w:val="24"/>
        </w:rPr>
        <w:t>Organizaciones de diferentes Tamaños: Es aplicable tanto a grandes empresas como a pequeñas y medianas empresas (PYMES)</w:t>
      </w:r>
    </w:p>
    <w:p w14:paraId="136BF060" w14:textId="77777777" w:rsidR="00DF6622" w:rsidRDefault="00DF6622" w:rsidP="00DF6622">
      <w:pPr>
        <w:pStyle w:val="Prrafodelista"/>
        <w:jc w:val="both"/>
        <w:rPr>
          <w:rFonts w:ascii="Humanst521 BT" w:hAnsi="Humanst521 BT"/>
          <w:b/>
          <w:bCs/>
          <w:sz w:val="24"/>
          <w:szCs w:val="24"/>
        </w:rPr>
      </w:pPr>
    </w:p>
    <w:p w14:paraId="24DA8066" w14:textId="75AB13C8"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Aporte</w:t>
      </w:r>
    </w:p>
    <w:p w14:paraId="3FBCF280" w14:textId="7F3C5F17" w:rsidR="00044ED4" w:rsidRDefault="00044ED4" w:rsidP="00044ED4">
      <w:pPr>
        <w:pStyle w:val="Prrafodelista"/>
        <w:jc w:val="both"/>
        <w:rPr>
          <w:rFonts w:ascii="Humanst521 BT" w:hAnsi="Humanst521 BT"/>
          <w:sz w:val="24"/>
          <w:szCs w:val="24"/>
        </w:rPr>
      </w:pPr>
      <w:r>
        <w:rPr>
          <w:rFonts w:ascii="Humanst521 BT" w:hAnsi="Humanst521 BT"/>
          <w:sz w:val="24"/>
          <w:szCs w:val="24"/>
        </w:rPr>
        <w:t xml:space="preserve">Ayudar a las organizaciones </w:t>
      </w:r>
      <w:r w:rsidR="0080642A">
        <w:rPr>
          <w:rFonts w:ascii="Humanst521 BT" w:hAnsi="Humanst521 BT"/>
          <w:sz w:val="24"/>
          <w:szCs w:val="24"/>
        </w:rPr>
        <w:t xml:space="preserve">proporcionando determinación de capacidad/madurez actual y la creación de una hoja </w:t>
      </w:r>
      <w:r w:rsidR="00842C8F">
        <w:rPr>
          <w:rFonts w:ascii="Humanst521 BT" w:hAnsi="Humanst521 BT"/>
          <w:sz w:val="24"/>
          <w:szCs w:val="24"/>
        </w:rPr>
        <w:t>de ruta.</w:t>
      </w:r>
    </w:p>
    <w:p w14:paraId="4BE29978" w14:textId="5032AB4D" w:rsidR="00387622" w:rsidRDefault="00387622" w:rsidP="00044ED4">
      <w:pPr>
        <w:pStyle w:val="Prrafodelista"/>
        <w:jc w:val="both"/>
        <w:rPr>
          <w:rFonts w:ascii="Humanst521 BT" w:hAnsi="Humanst521 BT"/>
          <w:sz w:val="24"/>
          <w:szCs w:val="24"/>
        </w:rPr>
      </w:pPr>
      <w:r>
        <w:rPr>
          <w:rFonts w:ascii="Humanst521 BT" w:hAnsi="Humanst521 BT"/>
          <w:sz w:val="24"/>
          <w:szCs w:val="24"/>
        </w:rPr>
        <w:t>Modelo capaz de</w:t>
      </w:r>
      <w:r w:rsidR="000E22F7" w:rsidRPr="000E22F7">
        <w:rPr>
          <w:rFonts w:ascii="Humanst521 BT" w:hAnsi="Humanst521 BT"/>
          <w:sz w:val="24"/>
          <w:szCs w:val="24"/>
        </w:rPr>
        <w:t xml:space="preserve"> identificar oportunidades de mejora de la madurez de DX en diferentes niveles de madurez de DX organizacional y logra proporcionar una guía para llevar el nivel de madurez de DX un paso más allá.</w:t>
      </w:r>
    </w:p>
    <w:p w14:paraId="12ECDE2E" w14:textId="77777777" w:rsidR="00016452" w:rsidRPr="00044ED4" w:rsidRDefault="00016452" w:rsidP="00044ED4">
      <w:pPr>
        <w:pStyle w:val="Prrafodelista"/>
        <w:jc w:val="both"/>
        <w:rPr>
          <w:rFonts w:ascii="Humanst521 BT" w:hAnsi="Humanst521 BT"/>
          <w:sz w:val="24"/>
          <w:szCs w:val="24"/>
        </w:rPr>
      </w:pPr>
    </w:p>
    <w:p w14:paraId="6D7C7F4D"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Implementación</w:t>
      </w:r>
    </w:p>
    <w:p w14:paraId="06E975AA" w14:textId="7593BB96" w:rsidR="002A125D" w:rsidRPr="002A125D" w:rsidRDefault="002A125D" w:rsidP="002A125D">
      <w:pPr>
        <w:pStyle w:val="Prrafodelista"/>
        <w:jc w:val="both"/>
        <w:rPr>
          <w:rFonts w:ascii="Humanst521 BT" w:hAnsi="Humanst521 BT"/>
          <w:sz w:val="24"/>
          <w:szCs w:val="24"/>
        </w:rPr>
      </w:pPr>
      <w:r w:rsidRPr="002A125D">
        <w:rPr>
          <w:rFonts w:ascii="Humanst521 BT" w:hAnsi="Humanst521 BT"/>
          <w:sz w:val="24"/>
          <w:szCs w:val="24"/>
          <w:u w:val="single"/>
        </w:rPr>
        <w:t xml:space="preserve">Identificación de </w:t>
      </w:r>
      <w:r w:rsidRPr="002A125D">
        <w:rPr>
          <w:rFonts w:ascii="Humanst521 BT" w:hAnsi="Humanst521 BT"/>
          <w:sz w:val="24"/>
          <w:szCs w:val="24"/>
          <w:u w:val="single"/>
        </w:rPr>
        <w:t>n</w:t>
      </w:r>
      <w:r w:rsidRPr="002A125D">
        <w:rPr>
          <w:rFonts w:ascii="Humanst521 BT" w:hAnsi="Humanst521 BT"/>
          <w:sz w:val="24"/>
          <w:szCs w:val="24"/>
          <w:u w:val="single"/>
        </w:rPr>
        <w:t>ecesidades:</w:t>
      </w:r>
      <w:r w:rsidRPr="002A125D">
        <w:rPr>
          <w:rFonts w:ascii="Humanst521 BT" w:hAnsi="Humanst521 BT"/>
          <w:sz w:val="24"/>
          <w:szCs w:val="24"/>
        </w:rPr>
        <w:t xml:space="preserve"> Se comenzó identificando la necesidad de las organizaciones de contar con una hoja de ruta clara para su viaje de transformación digital (DX)</w:t>
      </w:r>
      <w:r>
        <w:rPr>
          <w:rFonts w:ascii="Humanst521 BT" w:hAnsi="Humanst521 BT"/>
          <w:sz w:val="24"/>
          <w:szCs w:val="24"/>
        </w:rPr>
        <w:t>.</w:t>
      </w:r>
    </w:p>
    <w:p w14:paraId="4553A727" w14:textId="1DE83098" w:rsidR="002A125D" w:rsidRDefault="002A125D" w:rsidP="002A125D">
      <w:pPr>
        <w:pStyle w:val="Prrafodelista"/>
        <w:jc w:val="both"/>
        <w:rPr>
          <w:rFonts w:ascii="Humanst521 BT" w:hAnsi="Humanst521 BT"/>
          <w:sz w:val="24"/>
          <w:szCs w:val="24"/>
        </w:rPr>
      </w:pPr>
      <w:r w:rsidRPr="002A125D">
        <w:rPr>
          <w:rFonts w:ascii="Humanst521 BT" w:hAnsi="Humanst521 BT"/>
          <w:sz w:val="24"/>
          <w:szCs w:val="24"/>
          <w:u w:val="single"/>
        </w:rPr>
        <w:t xml:space="preserve">Desarrollo del </w:t>
      </w:r>
      <w:r w:rsidRPr="002A125D">
        <w:rPr>
          <w:rFonts w:ascii="Humanst521 BT" w:hAnsi="Humanst521 BT"/>
          <w:sz w:val="24"/>
          <w:szCs w:val="24"/>
          <w:u w:val="single"/>
        </w:rPr>
        <w:t>m</w:t>
      </w:r>
      <w:r w:rsidRPr="002A125D">
        <w:rPr>
          <w:rFonts w:ascii="Humanst521 BT" w:hAnsi="Humanst521 BT"/>
          <w:sz w:val="24"/>
          <w:szCs w:val="24"/>
          <w:u w:val="single"/>
        </w:rPr>
        <w:t>odelo:</w:t>
      </w:r>
      <w:r w:rsidRPr="002A125D">
        <w:rPr>
          <w:rFonts w:ascii="Humanst521 BT" w:hAnsi="Humanst521 BT"/>
          <w:sz w:val="24"/>
          <w:szCs w:val="24"/>
        </w:rPr>
        <w:t xml:space="preserve"> Se utilizó el marco de desarrollo de modelos de madurez propuesto por De </w:t>
      </w:r>
      <w:proofErr w:type="spellStart"/>
      <w:r w:rsidRPr="002A125D">
        <w:rPr>
          <w:rFonts w:ascii="Humanst521 BT" w:hAnsi="Humanst521 BT"/>
          <w:sz w:val="24"/>
          <w:szCs w:val="24"/>
        </w:rPr>
        <w:t>Bruin</w:t>
      </w:r>
      <w:proofErr w:type="spellEnd"/>
      <w:r w:rsidRPr="002A125D">
        <w:rPr>
          <w:rFonts w:ascii="Humanst521 BT" w:hAnsi="Humanst521 BT"/>
          <w:sz w:val="24"/>
          <w:szCs w:val="24"/>
        </w:rPr>
        <w:t xml:space="preserve"> et al. (2005) como base metodológica. Este marco incluye pasos como el alcance, diseño, población, prueba, implementación y mantenimiento</w:t>
      </w:r>
      <w:r>
        <w:rPr>
          <w:rFonts w:ascii="Humanst521 BT" w:hAnsi="Humanst521 BT"/>
          <w:sz w:val="24"/>
          <w:szCs w:val="24"/>
        </w:rPr>
        <w:t>.</w:t>
      </w:r>
    </w:p>
    <w:p w14:paraId="1E932D1C" w14:textId="77777777" w:rsidR="002A125D" w:rsidRDefault="002A125D" w:rsidP="002A125D">
      <w:pPr>
        <w:pStyle w:val="Prrafodelista"/>
        <w:jc w:val="both"/>
        <w:rPr>
          <w:rFonts w:ascii="Humanst521 BT" w:hAnsi="Humanst521 BT"/>
          <w:sz w:val="24"/>
          <w:szCs w:val="24"/>
        </w:rPr>
      </w:pPr>
    </w:p>
    <w:p w14:paraId="5168DDB8" w14:textId="77777777" w:rsidR="00AE0C38" w:rsidRDefault="00AE0C38" w:rsidP="00AE0C38">
      <w:pPr>
        <w:pStyle w:val="Prrafodelista"/>
        <w:numPr>
          <w:ilvl w:val="0"/>
          <w:numId w:val="4"/>
        </w:numPr>
        <w:jc w:val="both"/>
        <w:rPr>
          <w:rFonts w:ascii="Humanst521 BT" w:hAnsi="Humanst521 BT"/>
          <w:sz w:val="24"/>
          <w:szCs w:val="24"/>
        </w:rPr>
      </w:pPr>
      <w:r w:rsidRPr="00AE0C38">
        <w:rPr>
          <w:rFonts w:ascii="Humanst521 BT" w:hAnsi="Humanst521 BT"/>
          <w:sz w:val="24"/>
          <w:szCs w:val="24"/>
        </w:rPr>
        <w:t xml:space="preserve">Fase de </w:t>
      </w:r>
      <w:r>
        <w:rPr>
          <w:rFonts w:ascii="Humanst521 BT" w:hAnsi="Humanst521 BT"/>
          <w:sz w:val="24"/>
          <w:szCs w:val="24"/>
        </w:rPr>
        <w:t>a</w:t>
      </w:r>
      <w:r w:rsidRPr="00AE0C38">
        <w:rPr>
          <w:rFonts w:ascii="Humanst521 BT" w:hAnsi="Humanst521 BT"/>
          <w:sz w:val="24"/>
          <w:szCs w:val="24"/>
        </w:rPr>
        <w:t>lcance: En esta fase, se determina el alcance del modelo, es decir, se definen los objetivos y el contexto en el que se aplicará el DX-CMM. Esto incluye identificar las necesidades de las organizaciones y los dominios específicos que se abordarán.</w:t>
      </w:r>
    </w:p>
    <w:p w14:paraId="302B4371" w14:textId="77777777" w:rsidR="00DF40FE" w:rsidRDefault="00AE0C38" w:rsidP="00DF40FE">
      <w:pPr>
        <w:pStyle w:val="Prrafodelista"/>
        <w:numPr>
          <w:ilvl w:val="0"/>
          <w:numId w:val="4"/>
        </w:numPr>
        <w:jc w:val="both"/>
        <w:rPr>
          <w:rFonts w:ascii="Humanst521 BT" w:hAnsi="Humanst521 BT"/>
          <w:sz w:val="24"/>
          <w:szCs w:val="24"/>
        </w:rPr>
      </w:pPr>
      <w:r w:rsidRPr="00AE0C38">
        <w:rPr>
          <w:rFonts w:ascii="Humanst521 BT" w:hAnsi="Humanst521 BT"/>
          <w:sz w:val="24"/>
          <w:szCs w:val="24"/>
        </w:rPr>
        <w:t xml:space="preserve">Fase de </w:t>
      </w:r>
      <w:r w:rsidRPr="00AE0C38">
        <w:rPr>
          <w:rFonts w:ascii="Humanst521 BT" w:hAnsi="Humanst521 BT"/>
          <w:sz w:val="24"/>
          <w:szCs w:val="24"/>
        </w:rPr>
        <w:t>d</w:t>
      </w:r>
      <w:r w:rsidRPr="00AE0C38">
        <w:rPr>
          <w:rFonts w:ascii="Humanst521 BT" w:hAnsi="Humanst521 BT"/>
          <w:sz w:val="24"/>
          <w:szCs w:val="24"/>
        </w:rPr>
        <w:t>iseño: Durante esta etapa, se establece la estructura y la arquitectura del modelo. Se consideran criterios como el público objetivo, el método de aplicación y los impulsores de la aplicación. Se definen las dimensiones y subdimensiones que se medirán en el modelo.</w:t>
      </w:r>
    </w:p>
    <w:p w14:paraId="3C5754BF" w14:textId="77777777" w:rsidR="00DF40FE" w:rsidRDefault="00AE0C38" w:rsidP="00DF40FE">
      <w:pPr>
        <w:pStyle w:val="Prrafodelista"/>
        <w:numPr>
          <w:ilvl w:val="0"/>
          <w:numId w:val="4"/>
        </w:numPr>
        <w:jc w:val="both"/>
        <w:rPr>
          <w:rFonts w:ascii="Humanst521 BT" w:hAnsi="Humanst521 BT"/>
          <w:sz w:val="24"/>
          <w:szCs w:val="24"/>
        </w:rPr>
      </w:pPr>
      <w:r w:rsidRPr="00DF40FE">
        <w:rPr>
          <w:rFonts w:ascii="Humanst521 BT" w:hAnsi="Humanst521 BT"/>
          <w:sz w:val="24"/>
          <w:szCs w:val="24"/>
        </w:rPr>
        <w:t xml:space="preserve">Fase de </w:t>
      </w:r>
      <w:r w:rsidR="00DF40FE" w:rsidRPr="00DF40FE">
        <w:rPr>
          <w:rFonts w:ascii="Humanst521 BT" w:hAnsi="Humanst521 BT"/>
          <w:sz w:val="24"/>
          <w:szCs w:val="24"/>
        </w:rPr>
        <w:t>p</w:t>
      </w:r>
      <w:r w:rsidRPr="00DF40FE">
        <w:rPr>
          <w:rFonts w:ascii="Humanst521 BT" w:hAnsi="Humanst521 BT"/>
          <w:sz w:val="24"/>
          <w:szCs w:val="24"/>
        </w:rPr>
        <w:t>oblación: En esta fase, se desarrollan las definiciones de procesos para los procesos de transformación digital (DX) y se crea un marco de medición para determinar el nivel de capacidad y madurez. Esto implica identificar los atributos de proceso y las prácticas necesarias para cada nivel de madurez.</w:t>
      </w:r>
    </w:p>
    <w:p w14:paraId="0ADFACA3" w14:textId="77777777" w:rsidR="00272B32" w:rsidRDefault="00AE0C38" w:rsidP="00272B32">
      <w:pPr>
        <w:pStyle w:val="Prrafodelista"/>
        <w:numPr>
          <w:ilvl w:val="0"/>
          <w:numId w:val="4"/>
        </w:numPr>
        <w:jc w:val="both"/>
        <w:rPr>
          <w:rFonts w:ascii="Humanst521 BT" w:hAnsi="Humanst521 BT"/>
          <w:sz w:val="24"/>
          <w:szCs w:val="24"/>
        </w:rPr>
      </w:pPr>
      <w:r w:rsidRPr="00DF40FE">
        <w:rPr>
          <w:rFonts w:ascii="Humanst521 BT" w:hAnsi="Humanst521 BT"/>
          <w:sz w:val="24"/>
          <w:szCs w:val="24"/>
        </w:rPr>
        <w:t xml:space="preserve">Fase de </w:t>
      </w:r>
      <w:r w:rsidR="00DF40FE" w:rsidRPr="00DF40FE">
        <w:rPr>
          <w:rFonts w:ascii="Humanst521 BT" w:hAnsi="Humanst521 BT"/>
          <w:sz w:val="24"/>
          <w:szCs w:val="24"/>
        </w:rPr>
        <w:t>p</w:t>
      </w:r>
      <w:r w:rsidRPr="00DF40FE">
        <w:rPr>
          <w:rFonts w:ascii="Humanst521 BT" w:hAnsi="Humanst521 BT"/>
          <w:sz w:val="24"/>
          <w:szCs w:val="24"/>
        </w:rPr>
        <w:t>rueba: Aquí se valida el modelo mediante un enfoque de estudio de casos múltiples. Se realizan evaluaciones en diferentes organizaciones para asegurar que el modelo sea exacto y repetible. Esta fase es crucial para garantizar la fiabilidad del DX-CMM.</w:t>
      </w:r>
    </w:p>
    <w:p w14:paraId="525CA899" w14:textId="77777777" w:rsidR="00272B32" w:rsidRDefault="00AE0C38" w:rsidP="00272B32">
      <w:pPr>
        <w:pStyle w:val="Prrafodelista"/>
        <w:numPr>
          <w:ilvl w:val="0"/>
          <w:numId w:val="4"/>
        </w:numPr>
        <w:jc w:val="both"/>
        <w:rPr>
          <w:rFonts w:ascii="Humanst521 BT" w:hAnsi="Humanst521 BT"/>
          <w:sz w:val="24"/>
          <w:szCs w:val="24"/>
        </w:rPr>
      </w:pPr>
      <w:r w:rsidRPr="00272B32">
        <w:rPr>
          <w:rFonts w:ascii="Humanst521 BT" w:hAnsi="Humanst521 BT"/>
          <w:sz w:val="24"/>
          <w:szCs w:val="24"/>
        </w:rPr>
        <w:lastRenderedPageBreak/>
        <w:t xml:space="preserve">Fase de </w:t>
      </w:r>
      <w:r w:rsidR="00DF40FE" w:rsidRPr="00272B32">
        <w:rPr>
          <w:rFonts w:ascii="Humanst521 BT" w:hAnsi="Humanst521 BT"/>
          <w:sz w:val="24"/>
          <w:szCs w:val="24"/>
        </w:rPr>
        <w:t>i</w:t>
      </w:r>
      <w:r w:rsidRPr="00272B32">
        <w:rPr>
          <w:rFonts w:ascii="Humanst521 BT" w:hAnsi="Humanst521 BT"/>
          <w:sz w:val="24"/>
          <w:szCs w:val="24"/>
        </w:rPr>
        <w:t>mplementación: Una vez validado, el modelo se implementa para su generalización y estandarización. Esto implica poner en práctica el DX-CMM en las organizaciones y proporcionar la formación necesaria para su uso efectivo.</w:t>
      </w:r>
    </w:p>
    <w:p w14:paraId="32FF2A96" w14:textId="586FC16F" w:rsidR="002A125D" w:rsidRPr="00272B32" w:rsidRDefault="00AE0C38" w:rsidP="00272B32">
      <w:pPr>
        <w:pStyle w:val="Prrafodelista"/>
        <w:numPr>
          <w:ilvl w:val="0"/>
          <w:numId w:val="4"/>
        </w:numPr>
        <w:jc w:val="both"/>
        <w:rPr>
          <w:rFonts w:ascii="Humanst521 BT" w:hAnsi="Humanst521 BT"/>
          <w:sz w:val="24"/>
          <w:szCs w:val="24"/>
        </w:rPr>
      </w:pPr>
      <w:r w:rsidRPr="00272B32">
        <w:rPr>
          <w:rFonts w:ascii="Humanst521 BT" w:hAnsi="Humanst521 BT"/>
          <w:sz w:val="24"/>
          <w:szCs w:val="24"/>
        </w:rPr>
        <w:t xml:space="preserve">Fase de </w:t>
      </w:r>
      <w:r w:rsidR="00272B32" w:rsidRPr="00272B32">
        <w:rPr>
          <w:rFonts w:ascii="Humanst521 BT" w:hAnsi="Humanst521 BT"/>
          <w:sz w:val="24"/>
          <w:szCs w:val="24"/>
        </w:rPr>
        <w:t>m</w:t>
      </w:r>
      <w:r w:rsidRPr="00272B32">
        <w:rPr>
          <w:rFonts w:ascii="Humanst521 BT" w:hAnsi="Humanst521 BT"/>
          <w:sz w:val="24"/>
          <w:szCs w:val="24"/>
        </w:rPr>
        <w:t>antenimiento: Finalmente, se establece un proceso de mantenimiento para asegurar que el modelo siga siendo relevante y útil a lo largo del tiempo. Esto puede incluir estudios longitudinales y actualizaciones basadas en la evolución de las prácticas de transformación digital.</w:t>
      </w:r>
    </w:p>
    <w:p w14:paraId="741DA6BA" w14:textId="77777777" w:rsidR="002A125D" w:rsidRPr="002A125D" w:rsidRDefault="002A125D" w:rsidP="002A125D">
      <w:pPr>
        <w:pStyle w:val="Prrafodelista"/>
        <w:jc w:val="both"/>
        <w:rPr>
          <w:rFonts w:ascii="Humanst521 BT" w:hAnsi="Humanst521 BT"/>
          <w:sz w:val="24"/>
          <w:szCs w:val="24"/>
        </w:rPr>
      </w:pPr>
    </w:p>
    <w:p w14:paraId="354061B1" w14:textId="77777777" w:rsidR="002A125D" w:rsidRPr="002A125D" w:rsidRDefault="002A125D" w:rsidP="002A125D">
      <w:pPr>
        <w:pStyle w:val="Prrafodelista"/>
        <w:jc w:val="both"/>
        <w:rPr>
          <w:rFonts w:ascii="Humanst521 BT" w:hAnsi="Humanst521 BT"/>
          <w:sz w:val="24"/>
          <w:szCs w:val="24"/>
        </w:rPr>
      </w:pPr>
    </w:p>
    <w:p w14:paraId="04B577AE" w14:textId="63683254" w:rsidR="002A125D" w:rsidRPr="002A125D" w:rsidRDefault="002A125D" w:rsidP="002A125D">
      <w:pPr>
        <w:pStyle w:val="Prrafodelista"/>
        <w:jc w:val="both"/>
        <w:rPr>
          <w:rFonts w:ascii="Humanst521 BT" w:hAnsi="Humanst521 BT"/>
          <w:sz w:val="24"/>
          <w:szCs w:val="24"/>
        </w:rPr>
      </w:pPr>
      <w:r w:rsidRPr="002A125D">
        <w:rPr>
          <w:rFonts w:ascii="Humanst521 BT" w:hAnsi="Humanst521 BT"/>
          <w:sz w:val="24"/>
          <w:szCs w:val="24"/>
          <w:u w:val="single"/>
        </w:rPr>
        <w:t xml:space="preserve">Validación del </w:t>
      </w:r>
      <w:r w:rsidRPr="002A125D">
        <w:rPr>
          <w:rFonts w:ascii="Humanst521 BT" w:hAnsi="Humanst521 BT"/>
          <w:sz w:val="24"/>
          <w:szCs w:val="24"/>
          <w:u w:val="single"/>
        </w:rPr>
        <w:t>m</w:t>
      </w:r>
      <w:r w:rsidRPr="002A125D">
        <w:rPr>
          <w:rFonts w:ascii="Humanst521 BT" w:hAnsi="Humanst521 BT"/>
          <w:sz w:val="24"/>
          <w:szCs w:val="24"/>
          <w:u w:val="single"/>
        </w:rPr>
        <w:t>odelo:</w:t>
      </w:r>
      <w:r w:rsidRPr="002A125D">
        <w:rPr>
          <w:rFonts w:ascii="Humanst521 BT" w:hAnsi="Humanst521 BT"/>
          <w:sz w:val="24"/>
          <w:szCs w:val="24"/>
        </w:rPr>
        <w:t xml:space="preserve"> Se realizó un estudio de casos múltiples en diferentes organizaciones para validar el modelo, asegurando que fuera aplicable y útil en contextos </w:t>
      </w:r>
      <w:r w:rsidRPr="002A125D">
        <w:rPr>
          <w:rFonts w:ascii="Humanst521 BT" w:hAnsi="Humanst521 BT"/>
          <w:sz w:val="24"/>
          <w:szCs w:val="24"/>
        </w:rPr>
        <w:t>diversos.</w:t>
      </w:r>
    </w:p>
    <w:p w14:paraId="2D2A8EC9" w14:textId="601C0EA7" w:rsidR="002A125D" w:rsidRPr="002A125D" w:rsidRDefault="002A125D" w:rsidP="002A125D">
      <w:pPr>
        <w:pStyle w:val="Prrafodelista"/>
        <w:jc w:val="both"/>
        <w:rPr>
          <w:rFonts w:ascii="Humanst521 BT" w:hAnsi="Humanst521 BT"/>
          <w:sz w:val="24"/>
          <w:szCs w:val="24"/>
        </w:rPr>
      </w:pPr>
      <w:r w:rsidRPr="002A125D">
        <w:rPr>
          <w:rFonts w:ascii="Humanst521 BT" w:hAnsi="Humanst521 BT"/>
          <w:sz w:val="24"/>
          <w:szCs w:val="24"/>
          <w:u w:val="single"/>
        </w:rPr>
        <w:t xml:space="preserve">Generación de </w:t>
      </w:r>
      <w:r w:rsidRPr="002A125D">
        <w:rPr>
          <w:rFonts w:ascii="Humanst521 BT" w:hAnsi="Humanst521 BT"/>
          <w:sz w:val="24"/>
          <w:szCs w:val="24"/>
          <w:u w:val="single"/>
        </w:rPr>
        <w:t>h</w:t>
      </w:r>
      <w:r w:rsidRPr="002A125D">
        <w:rPr>
          <w:rFonts w:ascii="Humanst521 BT" w:hAnsi="Humanst521 BT"/>
          <w:sz w:val="24"/>
          <w:szCs w:val="24"/>
          <w:u w:val="single"/>
        </w:rPr>
        <w:t xml:space="preserve">ojas de </w:t>
      </w:r>
      <w:r w:rsidRPr="002A125D">
        <w:rPr>
          <w:rFonts w:ascii="Humanst521 BT" w:hAnsi="Humanst521 BT"/>
          <w:sz w:val="24"/>
          <w:szCs w:val="24"/>
          <w:u w:val="single"/>
        </w:rPr>
        <w:t>r</w:t>
      </w:r>
      <w:r w:rsidRPr="002A125D">
        <w:rPr>
          <w:rFonts w:ascii="Humanst521 BT" w:hAnsi="Humanst521 BT"/>
          <w:sz w:val="24"/>
          <w:szCs w:val="24"/>
          <w:u w:val="single"/>
        </w:rPr>
        <w:t>uta:</w:t>
      </w:r>
      <w:r w:rsidRPr="002A125D">
        <w:rPr>
          <w:rFonts w:ascii="Humanst521 BT" w:hAnsi="Humanst521 BT"/>
          <w:sz w:val="24"/>
          <w:szCs w:val="24"/>
        </w:rPr>
        <w:t xml:space="preserve"> A través de la evaluación del nivel de madurez DX, se proporcionaron hojas de ruta para mejorar la madurez de DX en las organizaciones </w:t>
      </w:r>
      <w:r w:rsidRPr="002A125D">
        <w:rPr>
          <w:rFonts w:ascii="Humanst521 BT" w:hAnsi="Humanst521 BT"/>
          <w:sz w:val="24"/>
          <w:szCs w:val="24"/>
        </w:rPr>
        <w:t>evaluadas.</w:t>
      </w:r>
    </w:p>
    <w:p w14:paraId="5060CF2D" w14:textId="0E1C29E3" w:rsidR="000F5849" w:rsidRDefault="002A125D" w:rsidP="002A125D">
      <w:pPr>
        <w:pStyle w:val="Prrafodelista"/>
        <w:jc w:val="both"/>
        <w:rPr>
          <w:rFonts w:ascii="Humanst521 BT" w:hAnsi="Humanst521 BT"/>
          <w:sz w:val="24"/>
          <w:szCs w:val="24"/>
        </w:rPr>
      </w:pPr>
      <w:r w:rsidRPr="002A125D">
        <w:rPr>
          <w:rFonts w:ascii="Humanst521 BT" w:hAnsi="Humanst521 BT"/>
          <w:sz w:val="24"/>
          <w:szCs w:val="24"/>
          <w:u w:val="single"/>
        </w:rPr>
        <w:t xml:space="preserve">Revisión por </w:t>
      </w:r>
      <w:r w:rsidRPr="002A125D">
        <w:rPr>
          <w:rFonts w:ascii="Humanst521 BT" w:hAnsi="Humanst521 BT"/>
          <w:sz w:val="24"/>
          <w:szCs w:val="24"/>
          <w:u w:val="single"/>
        </w:rPr>
        <w:t>e</w:t>
      </w:r>
      <w:r w:rsidRPr="002A125D">
        <w:rPr>
          <w:rFonts w:ascii="Humanst521 BT" w:hAnsi="Humanst521 BT"/>
          <w:sz w:val="24"/>
          <w:szCs w:val="24"/>
          <w:u w:val="single"/>
        </w:rPr>
        <w:t>xpertos:</w:t>
      </w:r>
      <w:r w:rsidRPr="002A125D">
        <w:rPr>
          <w:rFonts w:ascii="Humanst521 BT" w:hAnsi="Humanst521 BT"/>
          <w:sz w:val="24"/>
          <w:szCs w:val="24"/>
        </w:rPr>
        <w:t xml:space="preserve"> Un panel de expertos revisó el modelo desarrollado y proporcionó comentarios, lo que contribuyó a su refinamiento</w:t>
      </w:r>
    </w:p>
    <w:p w14:paraId="13C27C5A" w14:textId="77777777" w:rsidR="002A125D" w:rsidRPr="0047409D" w:rsidRDefault="002A125D" w:rsidP="002A125D">
      <w:pPr>
        <w:pStyle w:val="Prrafodelista"/>
        <w:jc w:val="both"/>
        <w:rPr>
          <w:rFonts w:ascii="Humanst521 BT" w:hAnsi="Humanst521 BT"/>
          <w:sz w:val="24"/>
          <w:szCs w:val="24"/>
        </w:rPr>
      </w:pPr>
    </w:p>
    <w:p w14:paraId="5C2C9A4B"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Gráfico del modelo</w:t>
      </w:r>
    </w:p>
    <w:p w14:paraId="13CCD35B" w14:textId="743545FF" w:rsidR="00794D51" w:rsidRDefault="00BC0D39" w:rsidP="00BC0D39">
      <w:pPr>
        <w:pStyle w:val="Prrafodelista"/>
        <w:jc w:val="center"/>
        <w:rPr>
          <w:rFonts w:ascii="Humanst521 BT" w:hAnsi="Humanst521 BT"/>
          <w:b/>
          <w:bCs/>
          <w:sz w:val="24"/>
          <w:szCs w:val="24"/>
        </w:rPr>
      </w:pPr>
      <w:r w:rsidRPr="00BC0D39">
        <w:rPr>
          <w:rFonts w:ascii="Humanst521 BT" w:hAnsi="Humanst521 BT"/>
          <w:b/>
          <w:bCs/>
          <w:noProof/>
          <w:sz w:val="24"/>
          <w:szCs w:val="24"/>
        </w:rPr>
        <w:drawing>
          <wp:inline distT="0" distB="0" distL="0" distR="0" wp14:anchorId="3ACB3362" wp14:editId="6AB5619E">
            <wp:extent cx="4603898" cy="2843186"/>
            <wp:effectExtent l="0" t="0" r="6350" b="0"/>
            <wp:docPr id="704830804"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30804" name="Imagen 1" descr="Imagen que contiene Texto&#10;&#10;Descripción generada automáticamente"/>
                    <pic:cNvPicPr/>
                  </pic:nvPicPr>
                  <pic:blipFill>
                    <a:blip r:embed="rId10"/>
                    <a:stretch>
                      <a:fillRect/>
                    </a:stretch>
                  </pic:blipFill>
                  <pic:spPr>
                    <a:xfrm>
                      <a:off x="0" y="0"/>
                      <a:ext cx="4622254" cy="2854522"/>
                    </a:xfrm>
                    <a:prstGeom prst="rect">
                      <a:avLst/>
                    </a:prstGeom>
                  </pic:spPr>
                </pic:pic>
              </a:graphicData>
            </a:graphic>
          </wp:inline>
        </w:drawing>
      </w:r>
    </w:p>
    <w:p w14:paraId="3504FF47" w14:textId="77777777" w:rsidR="00B02F1C" w:rsidRDefault="00B02F1C" w:rsidP="00BC0D39">
      <w:pPr>
        <w:pStyle w:val="Prrafodelista"/>
        <w:jc w:val="center"/>
        <w:rPr>
          <w:rFonts w:ascii="Humanst521 BT" w:hAnsi="Humanst521 BT"/>
          <w:b/>
          <w:bCs/>
          <w:sz w:val="24"/>
          <w:szCs w:val="24"/>
        </w:rPr>
      </w:pPr>
    </w:p>
    <w:p w14:paraId="7DA4E3F9" w14:textId="34289335" w:rsidR="00B02F1C" w:rsidRPr="00B02F1C" w:rsidRDefault="00DC4CB1" w:rsidP="00B02F1C">
      <w:pPr>
        <w:pStyle w:val="Prrafodelista"/>
        <w:jc w:val="both"/>
        <w:rPr>
          <w:rFonts w:ascii="Humanst521 BT" w:hAnsi="Humanst521 BT"/>
          <w:sz w:val="24"/>
          <w:szCs w:val="24"/>
        </w:rPr>
      </w:pPr>
      <w:r>
        <w:rPr>
          <w:rFonts w:ascii="Humanst521 BT" w:hAnsi="Humanst521 BT"/>
          <w:sz w:val="24"/>
          <w:szCs w:val="24"/>
        </w:rPr>
        <w:t>Los</w:t>
      </w:r>
      <w:r w:rsidR="00B02F1C" w:rsidRPr="00B02F1C">
        <w:rPr>
          <w:rFonts w:ascii="Humanst521 BT" w:hAnsi="Humanst521 BT"/>
          <w:sz w:val="24"/>
          <w:szCs w:val="24"/>
        </w:rPr>
        <w:t xml:space="preserve"> diferentes niveles de madurez del DX-CMM, que van desde el Nivel 0 hasta el Nivel 5. Cada nivel representa un grado de madurez en la transformación digital, donde el Nivel 0 indica la ausencia de capacidades y el Nivel 5 representa un estado de madurez óptimo y completamente integrado. Esta representación es </w:t>
      </w:r>
      <w:r>
        <w:rPr>
          <w:rFonts w:ascii="Humanst521 BT" w:hAnsi="Humanst521 BT"/>
          <w:sz w:val="24"/>
          <w:szCs w:val="24"/>
        </w:rPr>
        <w:t>necesaria</w:t>
      </w:r>
      <w:r w:rsidR="00B02F1C" w:rsidRPr="00B02F1C">
        <w:rPr>
          <w:rFonts w:ascii="Humanst521 BT" w:hAnsi="Humanst521 BT"/>
          <w:sz w:val="24"/>
          <w:szCs w:val="24"/>
        </w:rPr>
        <w:t xml:space="preserve"> para entender cómo las organizaciones pueden evaluar su posición actual</w:t>
      </w:r>
      <w:r>
        <w:rPr>
          <w:rFonts w:ascii="Humanst521 BT" w:hAnsi="Humanst521 BT"/>
          <w:sz w:val="24"/>
          <w:szCs w:val="24"/>
        </w:rPr>
        <w:t>.</w:t>
      </w:r>
    </w:p>
    <w:p w14:paraId="357B888F" w14:textId="78EAEEEB" w:rsidR="008F6536" w:rsidRDefault="008F6536" w:rsidP="00BC0D39">
      <w:pPr>
        <w:pStyle w:val="Prrafodelista"/>
        <w:jc w:val="center"/>
        <w:rPr>
          <w:rFonts w:ascii="Humanst521 BT" w:hAnsi="Humanst521 BT"/>
          <w:b/>
          <w:bCs/>
          <w:sz w:val="24"/>
          <w:szCs w:val="24"/>
        </w:rPr>
      </w:pPr>
      <w:r w:rsidRPr="008F6536">
        <w:rPr>
          <w:rFonts w:ascii="Humanst521 BT" w:hAnsi="Humanst521 BT"/>
          <w:b/>
          <w:bCs/>
          <w:noProof/>
          <w:sz w:val="24"/>
          <w:szCs w:val="24"/>
        </w:rPr>
        <w:lastRenderedPageBreak/>
        <w:drawing>
          <wp:inline distT="0" distB="0" distL="0" distR="0" wp14:anchorId="67DCAA6D" wp14:editId="00A52452">
            <wp:extent cx="5358809" cy="2967415"/>
            <wp:effectExtent l="0" t="0" r="0" b="4445"/>
            <wp:docPr id="580275838"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275838" name="Imagen 1" descr="Tabla&#10;&#10;Descripción generada automáticamente"/>
                    <pic:cNvPicPr/>
                  </pic:nvPicPr>
                  <pic:blipFill>
                    <a:blip r:embed="rId11"/>
                    <a:stretch>
                      <a:fillRect/>
                    </a:stretch>
                  </pic:blipFill>
                  <pic:spPr>
                    <a:xfrm>
                      <a:off x="0" y="0"/>
                      <a:ext cx="5363526" cy="2970027"/>
                    </a:xfrm>
                    <a:prstGeom prst="rect">
                      <a:avLst/>
                    </a:prstGeom>
                  </pic:spPr>
                </pic:pic>
              </a:graphicData>
            </a:graphic>
          </wp:inline>
        </w:drawing>
      </w:r>
    </w:p>
    <w:p w14:paraId="7457F579" w14:textId="26BB3E3D" w:rsidR="00BC0D39" w:rsidRPr="001637A1" w:rsidRDefault="001637A1" w:rsidP="001637A1">
      <w:pPr>
        <w:pStyle w:val="Prrafodelista"/>
        <w:jc w:val="both"/>
        <w:rPr>
          <w:rFonts w:ascii="Humanst521 BT" w:hAnsi="Humanst521 BT"/>
          <w:sz w:val="24"/>
          <w:szCs w:val="24"/>
        </w:rPr>
      </w:pPr>
      <w:r>
        <w:rPr>
          <w:rFonts w:ascii="Humanst521 BT" w:hAnsi="Humanst521 BT"/>
          <w:sz w:val="24"/>
          <w:szCs w:val="24"/>
        </w:rPr>
        <w:t>C</w:t>
      </w:r>
      <w:r w:rsidRPr="001637A1">
        <w:rPr>
          <w:rFonts w:ascii="Humanst521 BT" w:hAnsi="Humanst521 BT"/>
          <w:sz w:val="24"/>
          <w:szCs w:val="24"/>
        </w:rPr>
        <w:t xml:space="preserve">omplementa la </w:t>
      </w:r>
      <w:r>
        <w:rPr>
          <w:rFonts w:ascii="Humanst521 BT" w:hAnsi="Humanst521 BT"/>
          <w:sz w:val="24"/>
          <w:szCs w:val="24"/>
        </w:rPr>
        <w:t xml:space="preserve">imagen </w:t>
      </w:r>
      <w:r w:rsidRPr="001637A1">
        <w:rPr>
          <w:rFonts w:ascii="Humanst521 BT" w:hAnsi="Humanst521 BT"/>
          <w:sz w:val="24"/>
          <w:szCs w:val="24"/>
        </w:rPr>
        <w:t>anterior al detallar los atributos y características específicas que definen cada nivel de madurez. Proporciona un marco más claro sobre qué se espera en cada etapa del proceso de madurez, incluyendo las prácticas y procesos que deben implementarse para avanzar al siguiente nivel. Esto ayuda a las organizaciones a identificar áreas de mejora y a establecer una hoja de ruta para su desarrollo en la transformación digital.</w:t>
      </w:r>
    </w:p>
    <w:p w14:paraId="283F0EFE" w14:textId="77777777" w:rsidR="00BC0D39" w:rsidRPr="00CF3C28" w:rsidRDefault="00BC0D39" w:rsidP="00BC0D39">
      <w:pPr>
        <w:pStyle w:val="Prrafodelista"/>
        <w:jc w:val="center"/>
        <w:rPr>
          <w:rFonts w:ascii="Humanst521 BT" w:hAnsi="Humanst521 BT"/>
          <w:b/>
          <w:bCs/>
          <w:sz w:val="24"/>
          <w:szCs w:val="24"/>
        </w:rPr>
      </w:pPr>
    </w:p>
    <w:p w14:paraId="362809AF" w14:textId="77777777" w:rsidR="00271DFD" w:rsidRDefault="00271DFD" w:rsidP="00CF3C28">
      <w:pPr>
        <w:pStyle w:val="Prrafodelista"/>
        <w:numPr>
          <w:ilvl w:val="0"/>
          <w:numId w:val="1"/>
        </w:numPr>
        <w:jc w:val="both"/>
        <w:rPr>
          <w:rFonts w:ascii="Humanst521 BT" w:hAnsi="Humanst521 BT"/>
          <w:b/>
          <w:bCs/>
          <w:sz w:val="24"/>
          <w:szCs w:val="24"/>
        </w:rPr>
      </w:pPr>
      <w:r w:rsidRPr="00CF3C28">
        <w:rPr>
          <w:rFonts w:ascii="Humanst521 BT" w:hAnsi="Humanst521 BT"/>
          <w:b/>
          <w:bCs/>
          <w:sz w:val="24"/>
          <w:szCs w:val="24"/>
        </w:rPr>
        <w:t>Interpretación de resultados</w:t>
      </w:r>
    </w:p>
    <w:p w14:paraId="571F322A" w14:textId="30009E28" w:rsidR="0096208E" w:rsidRDefault="0096208E" w:rsidP="0096208E">
      <w:pPr>
        <w:pStyle w:val="Prrafodelista"/>
        <w:jc w:val="both"/>
        <w:rPr>
          <w:rFonts w:ascii="Humanst521 BT" w:hAnsi="Humanst521 BT"/>
          <w:sz w:val="24"/>
          <w:szCs w:val="24"/>
        </w:rPr>
      </w:pPr>
      <w:r w:rsidRPr="0096208E">
        <w:rPr>
          <w:rFonts w:ascii="Humanst521 BT" w:hAnsi="Humanst521 BT"/>
          <w:sz w:val="24"/>
          <w:szCs w:val="24"/>
        </w:rPr>
        <w:t>La madurez organizacional de DX se evalúa con respecto a la capacidad del proceso de manera escalonada.</w:t>
      </w:r>
    </w:p>
    <w:p w14:paraId="444252E4" w14:textId="77777777" w:rsidR="00F5303C" w:rsidRDefault="00F5303C" w:rsidP="0096208E">
      <w:pPr>
        <w:pStyle w:val="Prrafodelista"/>
        <w:jc w:val="both"/>
        <w:rPr>
          <w:rFonts w:ascii="Humanst521 BT" w:hAnsi="Humanst521 BT"/>
          <w:sz w:val="24"/>
          <w:szCs w:val="24"/>
        </w:rPr>
      </w:pPr>
    </w:p>
    <w:p w14:paraId="31F0CD7C" w14:textId="77777777" w:rsidR="00F5303C" w:rsidRDefault="00F5303C" w:rsidP="0096208E">
      <w:pPr>
        <w:pStyle w:val="Prrafodelista"/>
        <w:jc w:val="both"/>
        <w:rPr>
          <w:rFonts w:ascii="Humanst521 BT" w:hAnsi="Humanst521 BT"/>
          <w:sz w:val="24"/>
          <w:szCs w:val="24"/>
        </w:rPr>
      </w:pPr>
    </w:p>
    <w:p w14:paraId="0EB41406" w14:textId="77777777" w:rsidR="00F5303C" w:rsidRDefault="00F5303C" w:rsidP="0096208E">
      <w:pPr>
        <w:pStyle w:val="Prrafodelista"/>
        <w:jc w:val="both"/>
        <w:rPr>
          <w:rFonts w:ascii="Humanst521 BT" w:hAnsi="Humanst521 BT"/>
          <w:sz w:val="24"/>
          <w:szCs w:val="24"/>
        </w:rPr>
      </w:pPr>
    </w:p>
    <w:p w14:paraId="28856F57" w14:textId="57DAD306" w:rsidR="000074CC" w:rsidRDefault="000074CC" w:rsidP="0096208E">
      <w:pPr>
        <w:pStyle w:val="Prrafodelista"/>
        <w:jc w:val="both"/>
        <w:rPr>
          <w:rFonts w:ascii="Humanst521 BT" w:hAnsi="Humanst521 BT"/>
          <w:sz w:val="24"/>
          <w:szCs w:val="24"/>
        </w:rPr>
      </w:pPr>
      <w:r w:rsidRPr="000074CC">
        <w:rPr>
          <w:rFonts w:ascii="Humanst521 BT" w:hAnsi="Humanst521 BT"/>
          <w:noProof/>
          <w:sz w:val="24"/>
          <w:szCs w:val="24"/>
        </w:rPr>
        <w:lastRenderedPageBreak/>
        <w:drawing>
          <wp:inline distT="0" distB="0" distL="0" distR="0" wp14:anchorId="00DE63F3" wp14:editId="074A13A3">
            <wp:extent cx="5612130" cy="3437890"/>
            <wp:effectExtent l="0" t="0" r="7620" b="0"/>
            <wp:docPr id="2044241414" name="Imagen 1" descr="Gráfico, Gráfico de burbuj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241414" name="Imagen 1" descr="Gráfico, Gráfico de burbujas&#10;&#10;Descripción generada automáticamente"/>
                    <pic:cNvPicPr/>
                  </pic:nvPicPr>
                  <pic:blipFill>
                    <a:blip r:embed="rId12"/>
                    <a:stretch>
                      <a:fillRect/>
                    </a:stretch>
                  </pic:blipFill>
                  <pic:spPr>
                    <a:xfrm>
                      <a:off x="0" y="0"/>
                      <a:ext cx="5612130" cy="3437890"/>
                    </a:xfrm>
                    <a:prstGeom prst="rect">
                      <a:avLst/>
                    </a:prstGeom>
                  </pic:spPr>
                </pic:pic>
              </a:graphicData>
            </a:graphic>
          </wp:inline>
        </w:drawing>
      </w:r>
    </w:p>
    <w:p w14:paraId="070D6CDA" w14:textId="7679243F" w:rsidR="00451F6C" w:rsidRDefault="00451F6C" w:rsidP="0096208E">
      <w:pPr>
        <w:pStyle w:val="Prrafodelista"/>
        <w:jc w:val="both"/>
        <w:rPr>
          <w:rFonts w:ascii="Humanst521 BT" w:hAnsi="Humanst521 BT"/>
          <w:sz w:val="24"/>
          <w:szCs w:val="24"/>
        </w:rPr>
      </w:pPr>
      <w:r w:rsidRPr="00451F6C">
        <w:rPr>
          <w:rFonts w:ascii="Humanst521 BT" w:hAnsi="Humanst521 BT"/>
          <w:noProof/>
          <w:sz w:val="24"/>
          <w:szCs w:val="24"/>
        </w:rPr>
        <w:drawing>
          <wp:inline distT="0" distB="0" distL="0" distR="0" wp14:anchorId="20708730" wp14:editId="75011602">
            <wp:extent cx="5612130" cy="3118485"/>
            <wp:effectExtent l="0" t="0" r="7620" b="5715"/>
            <wp:docPr id="1933676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67611" name=""/>
                    <pic:cNvPicPr/>
                  </pic:nvPicPr>
                  <pic:blipFill>
                    <a:blip r:embed="rId13"/>
                    <a:stretch>
                      <a:fillRect/>
                    </a:stretch>
                  </pic:blipFill>
                  <pic:spPr>
                    <a:xfrm>
                      <a:off x="0" y="0"/>
                      <a:ext cx="5612130" cy="3118485"/>
                    </a:xfrm>
                    <a:prstGeom prst="rect">
                      <a:avLst/>
                    </a:prstGeom>
                  </pic:spPr>
                </pic:pic>
              </a:graphicData>
            </a:graphic>
          </wp:inline>
        </w:drawing>
      </w:r>
    </w:p>
    <w:p w14:paraId="7A90FECB" w14:textId="192D2AED" w:rsidR="00451F6C" w:rsidRDefault="00814046" w:rsidP="0096208E">
      <w:pPr>
        <w:pStyle w:val="Prrafodelista"/>
        <w:jc w:val="both"/>
        <w:rPr>
          <w:rFonts w:ascii="Humanst521 BT" w:hAnsi="Humanst521 BT"/>
          <w:sz w:val="24"/>
          <w:szCs w:val="24"/>
        </w:rPr>
      </w:pPr>
      <w:r w:rsidRPr="00F26D47">
        <w:rPr>
          <w:rFonts w:ascii="Humanst521 BT" w:hAnsi="Humanst521 BT"/>
          <w:sz w:val="24"/>
          <w:szCs w:val="24"/>
          <w:u w:val="single"/>
        </w:rPr>
        <w:t>Nivel 0, Incompleto:</w:t>
      </w:r>
      <w:r w:rsidR="00F26D47" w:rsidRPr="00F26D47">
        <w:rPr>
          <w:rFonts w:ascii="Humanst521 BT" w:hAnsi="Humanst521 BT"/>
          <w:sz w:val="24"/>
          <w:szCs w:val="24"/>
        </w:rPr>
        <w:t xml:space="preserve"> La iniciativa DX aún no ha comenzado</w:t>
      </w:r>
    </w:p>
    <w:p w14:paraId="19090E64" w14:textId="69E3E33D" w:rsidR="00F26D47" w:rsidRDefault="00F26D47" w:rsidP="0096208E">
      <w:pPr>
        <w:pStyle w:val="Prrafodelista"/>
        <w:jc w:val="both"/>
        <w:rPr>
          <w:rFonts w:ascii="Humanst521 BT" w:hAnsi="Humanst521 BT"/>
          <w:sz w:val="24"/>
          <w:szCs w:val="24"/>
          <w:u w:val="single"/>
        </w:rPr>
      </w:pPr>
      <w:r>
        <w:rPr>
          <w:rFonts w:ascii="Humanst521 BT" w:hAnsi="Humanst521 BT"/>
          <w:sz w:val="24"/>
          <w:szCs w:val="24"/>
          <w:u w:val="single"/>
        </w:rPr>
        <w:t>Nivel 1, Realizado:</w:t>
      </w:r>
      <w:r w:rsidR="00276F35" w:rsidRPr="00276F35">
        <w:t xml:space="preserve"> </w:t>
      </w:r>
      <w:r w:rsidR="00276F35" w:rsidRPr="00276F35">
        <w:rPr>
          <w:rFonts w:ascii="Humanst521 BT" w:hAnsi="Humanst521 BT"/>
          <w:sz w:val="24"/>
          <w:szCs w:val="24"/>
        </w:rPr>
        <w:t>Se ha iniciado la iniciativa DX. La visión de DX existe y se ha desarrollado la hoja de ruta para la estrategia de transición, pero no se ha implementado por completo.</w:t>
      </w:r>
    </w:p>
    <w:p w14:paraId="70EFE88D" w14:textId="145DCACE" w:rsidR="00F26D47" w:rsidRDefault="00F26D47" w:rsidP="0096208E">
      <w:pPr>
        <w:pStyle w:val="Prrafodelista"/>
        <w:jc w:val="both"/>
        <w:rPr>
          <w:rFonts w:ascii="Humanst521 BT" w:hAnsi="Humanst521 BT"/>
          <w:sz w:val="24"/>
          <w:szCs w:val="24"/>
          <w:u w:val="single"/>
        </w:rPr>
      </w:pPr>
      <w:r>
        <w:rPr>
          <w:rFonts w:ascii="Humanst521 BT" w:hAnsi="Humanst521 BT"/>
          <w:sz w:val="24"/>
          <w:szCs w:val="24"/>
          <w:u w:val="single"/>
        </w:rPr>
        <w:t>Nivel 2, Gestionado:</w:t>
      </w:r>
      <w:r w:rsidR="00222151">
        <w:rPr>
          <w:rFonts w:ascii="Humanst521 BT" w:hAnsi="Humanst521 BT"/>
          <w:sz w:val="24"/>
          <w:szCs w:val="24"/>
          <w:u w:val="single"/>
        </w:rPr>
        <w:t xml:space="preserve"> </w:t>
      </w:r>
      <w:r w:rsidR="00222151" w:rsidRPr="00222151">
        <w:rPr>
          <w:rFonts w:ascii="Humanst521 BT" w:hAnsi="Humanst521 BT"/>
          <w:sz w:val="24"/>
          <w:szCs w:val="24"/>
        </w:rPr>
        <w:t>En este nivel se gestiona DX, en el que comienza a crearse la sombra digital de los elementos físicos</w:t>
      </w:r>
      <w:r w:rsidR="00222151" w:rsidRPr="00222151">
        <w:rPr>
          <w:rFonts w:ascii="Humanst521 BT" w:hAnsi="Humanst521 BT"/>
          <w:sz w:val="24"/>
          <w:szCs w:val="24"/>
          <w:u w:val="single"/>
        </w:rPr>
        <w:t>.</w:t>
      </w:r>
      <w:r w:rsidR="00DD13D8" w:rsidRPr="00DD13D8">
        <w:t xml:space="preserve"> </w:t>
      </w:r>
      <w:r w:rsidR="00DD13D8" w:rsidRPr="00DD13D8">
        <w:rPr>
          <w:rFonts w:ascii="Humanst521 BT" w:hAnsi="Humanst521 BT"/>
          <w:sz w:val="24"/>
          <w:szCs w:val="24"/>
        </w:rPr>
        <w:t>Los procesos comerciales existentes se digitalizan mediante tecnología</w:t>
      </w:r>
    </w:p>
    <w:p w14:paraId="75330763" w14:textId="66AB1936" w:rsidR="00F26D47" w:rsidRDefault="00F26D47" w:rsidP="0096208E">
      <w:pPr>
        <w:pStyle w:val="Prrafodelista"/>
        <w:jc w:val="both"/>
        <w:rPr>
          <w:rFonts w:ascii="Humanst521 BT" w:hAnsi="Humanst521 BT"/>
          <w:sz w:val="24"/>
          <w:szCs w:val="24"/>
          <w:u w:val="single"/>
        </w:rPr>
      </w:pPr>
      <w:r>
        <w:rPr>
          <w:rFonts w:ascii="Humanst521 BT" w:hAnsi="Humanst521 BT"/>
          <w:sz w:val="24"/>
          <w:szCs w:val="24"/>
          <w:u w:val="single"/>
        </w:rPr>
        <w:lastRenderedPageBreak/>
        <w:t xml:space="preserve">Nivel 3, </w:t>
      </w:r>
      <w:r w:rsidR="00B61176">
        <w:rPr>
          <w:rFonts w:ascii="Humanst521 BT" w:hAnsi="Humanst521 BT"/>
          <w:sz w:val="24"/>
          <w:szCs w:val="24"/>
          <w:u w:val="single"/>
        </w:rPr>
        <w:t>Establecido:</w:t>
      </w:r>
      <w:r w:rsidR="007B7D12">
        <w:rPr>
          <w:rFonts w:ascii="Humanst521 BT" w:hAnsi="Humanst521 BT"/>
          <w:sz w:val="24"/>
          <w:szCs w:val="24"/>
          <w:u w:val="single"/>
        </w:rPr>
        <w:t xml:space="preserve"> </w:t>
      </w:r>
      <w:r w:rsidR="007B7D12" w:rsidRPr="007B7D12">
        <w:rPr>
          <w:rFonts w:ascii="Humanst521 BT" w:hAnsi="Humanst521 BT"/>
          <w:sz w:val="24"/>
          <w:szCs w:val="24"/>
        </w:rPr>
        <w:t>DX está sólidamente establecido en este nivel. Los procesos clave están bien definidos y son consistentes con la estandarización correspondiente</w:t>
      </w:r>
    </w:p>
    <w:p w14:paraId="0BA5C9F6" w14:textId="716A11EA" w:rsidR="00B61176" w:rsidRDefault="00B61176" w:rsidP="0096208E">
      <w:pPr>
        <w:pStyle w:val="Prrafodelista"/>
        <w:jc w:val="both"/>
        <w:rPr>
          <w:rFonts w:ascii="Humanst521 BT" w:hAnsi="Humanst521 BT"/>
          <w:sz w:val="24"/>
          <w:szCs w:val="24"/>
          <w:u w:val="single"/>
        </w:rPr>
      </w:pPr>
      <w:r>
        <w:rPr>
          <w:rFonts w:ascii="Humanst521 BT" w:hAnsi="Humanst521 BT"/>
          <w:sz w:val="24"/>
          <w:szCs w:val="24"/>
          <w:u w:val="single"/>
        </w:rPr>
        <w:t>Nivel 4, Predecible:</w:t>
      </w:r>
      <w:r w:rsidR="00F606C8">
        <w:rPr>
          <w:rFonts w:ascii="Humanst521 BT" w:hAnsi="Humanst521 BT"/>
          <w:sz w:val="24"/>
          <w:szCs w:val="24"/>
          <w:u w:val="single"/>
        </w:rPr>
        <w:t xml:space="preserve"> </w:t>
      </w:r>
      <w:r w:rsidR="00F606C8" w:rsidRPr="00F606C8">
        <w:rPr>
          <w:rFonts w:ascii="Humanst521 BT" w:hAnsi="Humanst521 BT"/>
          <w:sz w:val="24"/>
          <w:szCs w:val="24"/>
        </w:rPr>
        <w:t>Las técnicas cuantitativas comienzan a aplicarse a los datos recopilados en tiempo real de productos, servicios o procesos.</w:t>
      </w:r>
    </w:p>
    <w:p w14:paraId="6A0C21A4" w14:textId="4FA9782A" w:rsidR="00B61176" w:rsidRPr="00F26D47" w:rsidRDefault="00B61176" w:rsidP="0096208E">
      <w:pPr>
        <w:pStyle w:val="Prrafodelista"/>
        <w:jc w:val="both"/>
        <w:rPr>
          <w:rFonts w:ascii="Humanst521 BT" w:hAnsi="Humanst521 BT"/>
          <w:sz w:val="24"/>
          <w:szCs w:val="24"/>
          <w:u w:val="single"/>
        </w:rPr>
      </w:pPr>
      <w:r>
        <w:rPr>
          <w:rFonts w:ascii="Humanst521 BT" w:hAnsi="Humanst521 BT"/>
          <w:sz w:val="24"/>
          <w:szCs w:val="24"/>
          <w:u w:val="single"/>
        </w:rPr>
        <w:t>Nivel 5, Innovando:</w:t>
      </w:r>
      <w:r w:rsidR="00A87C7F">
        <w:rPr>
          <w:rFonts w:ascii="Humanst521 BT" w:hAnsi="Humanst521 BT"/>
          <w:sz w:val="24"/>
          <w:szCs w:val="24"/>
          <w:u w:val="single"/>
        </w:rPr>
        <w:t xml:space="preserve"> </w:t>
      </w:r>
      <w:r w:rsidR="00A87C7F" w:rsidRPr="00A87C7F">
        <w:rPr>
          <w:rFonts w:ascii="Humanst521 BT" w:hAnsi="Humanst521 BT"/>
          <w:sz w:val="24"/>
          <w:szCs w:val="24"/>
        </w:rPr>
        <w:t>La organización utiliza los datos recopilados para la mejora continua, se establece una cultura innovadora y se permite una cooperación dinámica y una mayor transparencia, al ampliar la visibilidad operativa con un intercambio de información automatizado y fluido entre la red</w:t>
      </w:r>
    </w:p>
    <w:p w14:paraId="5338FBF1" w14:textId="77777777" w:rsidR="00814046" w:rsidRPr="0096208E" w:rsidRDefault="00814046" w:rsidP="0096208E">
      <w:pPr>
        <w:pStyle w:val="Prrafodelista"/>
        <w:jc w:val="both"/>
        <w:rPr>
          <w:rFonts w:ascii="Humanst521 BT" w:hAnsi="Humanst521 BT"/>
          <w:sz w:val="24"/>
          <w:szCs w:val="24"/>
        </w:rPr>
      </w:pPr>
    </w:p>
    <w:p w14:paraId="390861A1" w14:textId="696DE9AF" w:rsidR="00271DFD" w:rsidRPr="001C2756" w:rsidRDefault="00D94C85" w:rsidP="00CF3C28">
      <w:pPr>
        <w:pStyle w:val="Prrafodelista"/>
        <w:numPr>
          <w:ilvl w:val="0"/>
          <w:numId w:val="1"/>
        </w:numPr>
        <w:jc w:val="both"/>
        <w:rPr>
          <w:rFonts w:ascii="Humanst521 BT" w:hAnsi="Humanst521 BT"/>
          <w:b/>
          <w:bCs/>
          <w:sz w:val="24"/>
          <w:szCs w:val="24"/>
        </w:rPr>
      </w:pPr>
      <w:r>
        <w:rPr>
          <w:rFonts w:ascii="Humanst521 BT" w:hAnsi="Humanst521 BT"/>
          <w:b/>
          <w:bCs/>
          <w:lang w:val="es-ES"/>
        </w:rPr>
        <w:t>Forma de recolección de la informaci</w:t>
      </w:r>
      <w:r>
        <w:rPr>
          <w:rFonts w:ascii="Humanst521 BT" w:hAnsi="Humanst521 BT"/>
          <w:b/>
          <w:bCs/>
          <w:lang w:val="es-ES"/>
        </w:rPr>
        <w:t>ón</w:t>
      </w:r>
    </w:p>
    <w:p w14:paraId="1982BD90" w14:textId="33A44F29" w:rsidR="00651DED" w:rsidRPr="00651DED" w:rsidRDefault="00651DED" w:rsidP="00651DED">
      <w:pPr>
        <w:pStyle w:val="Prrafodelista"/>
        <w:jc w:val="both"/>
        <w:rPr>
          <w:rFonts w:ascii="Humanst521 BT" w:hAnsi="Humanst521 BT"/>
          <w:sz w:val="24"/>
          <w:szCs w:val="24"/>
        </w:rPr>
      </w:pPr>
      <w:r w:rsidRPr="00651DED">
        <w:rPr>
          <w:rFonts w:ascii="Humanst521 BT" w:hAnsi="Humanst521 BT"/>
          <w:sz w:val="24"/>
          <w:szCs w:val="24"/>
        </w:rPr>
        <w:t xml:space="preserve">La implementación del modelo de madurez de la capacidad de transformación digital (DX-CMM) en las empresas se realizó de forma cualitativa. En el estudio, se aplicó un enfoque de estudio de casos múltiples, donde se llevaron a cabo entrevistas semiestructuradas con los propietarios de procesos de DX y se revisaron documentos relacionados con la transformación digital. Esto permitió documentar y presentar informes de evaluación detallados, incluyendo las brechas de DX y las oportunidades de </w:t>
      </w:r>
      <w:r w:rsidRPr="00651DED">
        <w:rPr>
          <w:rFonts w:ascii="Humanst521 BT" w:hAnsi="Humanst521 BT"/>
          <w:sz w:val="24"/>
          <w:szCs w:val="24"/>
        </w:rPr>
        <w:t>mejora</w:t>
      </w:r>
      <w:r w:rsidRPr="00651DED">
        <w:rPr>
          <w:rFonts w:ascii="Humanst521 BT" w:hAnsi="Humanst521 BT"/>
          <w:sz w:val="24"/>
          <w:szCs w:val="24"/>
        </w:rPr>
        <w:t>.</w:t>
      </w:r>
    </w:p>
    <w:p w14:paraId="47AF0924" w14:textId="77777777" w:rsidR="00651DED" w:rsidRPr="00651DED" w:rsidRDefault="00651DED" w:rsidP="00651DED">
      <w:pPr>
        <w:pStyle w:val="Prrafodelista"/>
        <w:jc w:val="both"/>
        <w:rPr>
          <w:rFonts w:ascii="Humanst521 BT" w:hAnsi="Humanst521 BT"/>
          <w:sz w:val="24"/>
          <w:szCs w:val="24"/>
        </w:rPr>
      </w:pPr>
    </w:p>
    <w:p w14:paraId="20FE7D07" w14:textId="27ADEDA0" w:rsidR="00651DED" w:rsidRPr="00651DED" w:rsidRDefault="00651DED" w:rsidP="00651DED">
      <w:pPr>
        <w:pStyle w:val="Prrafodelista"/>
        <w:jc w:val="both"/>
        <w:rPr>
          <w:rFonts w:ascii="Humanst521 BT" w:hAnsi="Humanst521 BT"/>
          <w:sz w:val="24"/>
          <w:szCs w:val="24"/>
        </w:rPr>
      </w:pPr>
      <w:r w:rsidRPr="00651DED">
        <w:rPr>
          <w:rFonts w:ascii="Humanst521 BT" w:hAnsi="Humanst521 BT"/>
          <w:sz w:val="24"/>
          <w:szCs w:val="24"/>
        </w:rPr>
        <w:t>Aunque el modelo también puede incluir elementos cuantitativos en su evaluación general, la fase de implementación en las empresas específicas se centró en la recopilación de información cualitativa para entender mejor el contexto y las necesidades de cada organización. Esto se tradujo en la generación de informes que ofrecieron recomendaciones y hojas de ruta para mejorar la madurez de DX</w:t>
      </w:r>
      <w:r>
        <w:rPr>
          <w:rFonts w:ascii="Humanst521 BT" w:hAnsi="Humanst521 BT"/>
          <w:sz w:val="24"/>
          <w:szCs w:val="24"/>
        </w:rPr>
        <w:t>.</w:t>
      </w:r>
    </w:p>
    <w:p w14:paraId="5E0F2BF0" w14:textId="77777777" w:rsidR="00651DED" w:rsidRPr="00651DED" w:rsidRDefault="00651DED" w:rsidP="00651DED">
      <w:pPr>
        <w:pStyle w:val="Prrafodelista"/>
        <w:jc w:val="both"/>
        <w:rPr>
          <w:rFonts w:ascii="Humanst521 BT" w:hAnsi="Humanst521 BT"/>
          <w:sz w:val="24"/>
          <w:szCs w:val="24"/>
        </w:rPr>
      </w:pPr>
    </w:p>
    <w:p w14:paraId="1B10D7FC" w14:textId="07159173" w:rsidR="001C2756" w:rsidRPr="00651DED" w:rsidRDefault="00651DED" w:rsidP="00651DED">
      <w:pPr>
        <w:pStyle w:val="Prrafodelista"/>
        <w:jc w:val="both"/>
        <w:rPr>
          <w:rFonts w:ascii="Humanst521 BT" w:hAnsi="Humanst521 BT"/>
          <w:sz w:val="24"/>
          <w:szCs w:val="24"/>
        </w:rPr>
      </w:pPr>
      <w:r w:rsidRPr="00651DED">
        <w:rPr>
          <w:rFonts w:ascii="Humanst521 BT" w:hAnsi="Humanst521 BT"/>
          <w:sz w:val="24"/>
          <w:szCs w:val="24"/>
        </w:rPr>
        <w:t>En resumen, la implementación del DX-CMM en las empresas se llevó a cabo principalmente a través de un enfoque cualitativo, utilizando entrevistas y análisis de documentos para evaluar el estado actual de la madurez en la transformación digital.</w:t>
      </w:r>
    </w:p>
    <w:p w14:paraId="0A1AF90B" w14:textId="77777777" w:rsidR="00D94C85" w:rsidRPr="00D94C85" w:rsidRDefault="00D94C85" w:rsidP="00D94C85">
      <w:pPr>
        <w:pStyle w:val="Prrafodelista"/>
        <w:jc w:val="both"/>
        <w:rPr>
          <w:rFonts w:ascii="Humanst521 BT" w:hAnsi="Humanst521 BT"/>
          <w:b/>
          <w:bCs/>
          <w:sz w:val="24"/>
          <w:szCs w:val="24"/>
        </w:rPr>
      </w:pPr>
    </w:p>
    <w:p w14:paraId="5D7CE1F5" w14:textId="05B2F6B9" w:rsidR="001C2756" w:rsidRPr="001C2756" w:rsidRDefault="001C2756" w:rsidP="001C2756">
      <w:pPr>
        <w:pStyle w:val="Prrafodelista"/>
        <w:numPr>
          <w:ilvl w:val="0"/>
          <w:numId w:val="1"/>
        </w:numPr>
        <w:jc w:val="both"/>
        <w:rPr>
          <w:rFonts w:ascii="Humanst521 BT" w:hAnsi="Humanst521 BT"/>
          <w:b/>
          <w:bCs/>
          <w:lang w:val="es-ES"/>
        </w:rPr>
      </w:pPr>
      <w:r w:rsidRPr="001C2756">
        <w:rPr>
          <w:rFonts w:ascii="Humanst521 BT" w:hAnsi="Humanst521 BT"/>
          <w:b/>
          <w:bCs/>
          <w:lang w:val="es-ES"/>
        </w:rPr>
        <w:t>Alcance de la evaluación del modelo en el artículo</w:t>
      </w:r>
    </w:p>
    <w:p w14:paraId="2CC00497" w14:textId="77777777" w:rsidR="001C2756" w:rsidRPr="001C2756" w:rsidRDefault="001C2756" w:rsidP="001C2756">
      <w:pPr>
        <w:pStyle w:val="Prrafodelista"/>
        <w:jc w:val="both"/>
        <w:rPr>
          <w:rFonts w:ascii="Humanst521 BT" w:hAnsi="Humanst521 BT"/>
          <w:b/>
          <w:bCs/>
          <w:lang w:val="es-ES"/>
        </w:rPr>
      </w:pPr>
    </w:p>
    <w:p w14:paraId="3ED0B042" w14:textId="77777777" w:rsidR="001C2756" w:rsidRPr="001C2756" w:rsidRDefault="001C2756" w:rsidP="001C2756">
      <w:pPr>
        <w:pStyle w:val="Prrafodelista"/>
        <w:jc w:val="both"/>
        <w:rPr>
          <w:rFonts w:ascii="Humanst521 BT" w:hAnsi="Humanst521 BT"/>
          <w:lang w:val="es-ES"/>
        </w:rPr>
      </w:pPr>
      <w:r w:rsidRPr="001C2756">
        <w:rPr>
          <w:rFonts w:ascii="Humanst521 BT" w:hAnsi="Humanst521 BT"/>
          <w:lang w:val="es-ES"/>
        </w:rPr>
        <w:t>Modelo</w:t>
      </w:r>
    </w:p>
    <w:p w14:paraId="6706BA2D" w14:textId="26AB9331" w:rsidR="001C2756" w:rsidRPr="001C2756" w:rsidRDefault="001C2756" w:rsidP="001C2756">
      <w:pPr>
        <w:pStyle w:val="Prrafodelista"/>
        <w:jc w:val="both"/>
        <w:rPr>
          <w:rFonts w:ascii="Humanst521 BT" w:hAnsi="Humanst521 BT"/>
          <w:lang w:val="es-ES"/>
        </w:rPr>
      </w:pPr>
      <w:r w:rsidRPr="001C2756">
        <w:rPr>
          <w:rFonts w:ascii="Humanst521 BT" w:hAnsi="Humanst521 BT"/>
          <w:lang w:val="es-ES"/>
        </w:rPr>
        <w:t>Modelo e implementación</w:t>
      </w:r>
    </w:p>
    <w:p w14:paraId="08214743" w14:textId="77777777" w:rsidR="001C2756" w:rsidRPr="001C2756" w:rsidRDefault="001C2756" w:rsidP="001C2756">
      <w:pPr>
        <w:pStyle w:val="Prrafodelista"/>
        <w:jc w:val="both"/>
        <w:rPr>
          <w:rFonts w:ascii="Humanst521 BT" w:hAnsi="Humanst521 BT"/>
          <w:lang w:val="es-ES"/>
        </w:rPr>
      </w:pPr>
      <w:r w:rsidRPr="001C2756">
        <w:rPr>
          <w:rFonts w:ascii="Humanst521 BT" w:hAnsi="Humanst521 BT"/>
          <w:lang w:val="es-ES"/>
        </w:rPr>
        <w:t>Modelo, implementación y testeo (ponderación de factores)</w:t>
      </w:r>
    </w:p>
    <w:p w14:paraId="7FB792ED" w14:textId="08D4BD2B" w:rsidR="001C2756" w:rsidRPr="001C2756" w:rsidRDefault="001C2756" w:rsidP="001C2756">
      <w:pPr>
        <w:pStyle w:val="Prrafodelista"/>
        <w:jc w:val="both"/>
        <w:rPr>
          <w:rFonts w:ascii="Humanst521 BT" w:hAnsi="Humanst521 BT"/>
          <w:lang w:val="es-ES"/>
        </w:rPr>
      </w:pPr>
      <w:r w:rsidRPr="001C2756">
        <w:rPr>
          <w:rFonts w:ascii="Humanst521 BT" w:hAnsi="Humanst521 BT"/>
          <w:lang w:val="es-ES"/>
        </w:rPr>
        <w:t>Modelo, implementación, testeo y evaluación</w:t>
      </w:r>
      <w:r w:rsidR="00272B32">
        <w:rPr>
          <w:rFonts w:ascii="Humanst521 BT" w:hAnsi="Humanst521 BT"/>
          <w:lang w:val="es-ES"/>
        </w:rPr>
        <w:t>: X</w:t>
      </w:r>
    </w:p>
    <w:p w14:paraId="172B99CE" w14:textId="77777777" w:rsidR="00D94C85" w:rsidRPr="00CF3C28" w:rsidRDefault="00D94C85" w:rsidP="001C2756">
      <w:pPr>
        <w:pStyle w:val="Prrafodelista"/>
        <w:jc w:val="both"/>
        <w:rPr>
          <w:rFonts w:ascii="Humanst521 BT" w:hAnsi="Humanst521 BT"/>
          <w:b/>
          <w:bCs/>
          <w:sz w:val="24"/>
          <w:szCs w:val="24"/>
        </w:rPr>
      </w:pPr>
    </w:p>
    <w:p w14:paraId="05BA8676" w14:textId="77777777" w:rsidR="00A47BE9" w:rsidRPr="00CF3C28" w:rsidRDefault="00A47BE9" w:rsidP="00CF3C28">
      <w:pPr>
        <w:pStyle w:val="Prrafodelista"/>
        <w:jc w:val="both"/>
        <w:rPr>
          <w:rFonts w:ascii="Humanst521 BT" w:hAnsi="Humanst521 BT"/>
          <w:sz w:val="24"/>
          <w:szCs w:val="24"/>
        </w:rPr>
      </w:pPr>
    </w:p>
    <w:p w14:paraId="1DBCDF67" w14:textId="77777777" w:rsidR="00CF3C28" w:rsidRPr="00CF3C28" w:rsidRDefault="00CF3C28" w:rsidP="00CF3C28">
      <w:pPr>
        <w:pStyle w:val="Prrafodelista"/>
        <w:jc w:val="both"/>
        <w:rPr>
          <w:rFonts w:ascii="Humanst521 BT" w:hAnsi="Humanst521 BT"/>
          <w:sz w:val="24"/>
          <w:szCs w:val="24"/>
        </w:rPr>
      </w:pPr>
    </w:p>
    <w:sectPr w:rsidR="00CF3C28" w:rsidRPr="00CF3C28">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ENNIFER RUEDA" w:date="2024-07-23T14:29:00Z" w:initials="JR">
    <w:p w14:paraId="0C19AD55" w14:textId="77777777" w:rsidR="004A4068" w:rsidRDefault="004A4068" w:rsidP="004A4068">
      <w:pPr>
        <w:pStyle w:val="Textocomentario"/>
      </w:pPr>
      <w:r>
        <w:rPr>
          <w:rStyle w:val="Refdecomentario"/>
        </w:rPr>
        <w:annotationRef/>
      </w:r>
      <w:r>
        <w:t>Va aquí o en gráfico del modelo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19AD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6C97F2" w16cex:dateUtc="2024-07-23T1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19AD55" w16cid:durableId="426C97F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F543E"/>
    <w:multiLevelType w:val="hybridMultilevel"/>
    <w:tmpl w:val="6A0E1AF2"/>
    <w:lvl w:ilvl="0" w:tplc="446EB25E">
      <w:start w:val="6"/>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1AE74FAE"/>
    <w:multiLevelType w:val="hybridMultilevel"/>
    <w:tmpl w:val="945C1B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3F41A9"/>
    <w:multiLevelType w:val="hybridMultilevel"/>
    <w:tmpl w:val="9F82DDAA"/>
    <w:lvl w:ilvl="0" w:tplc="46C8D436">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798C3C95"/>
    <w:multiLevelType w:val="hybridMultilevel"/>
    <w:tmpl w:val="B3C8B08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072385932">
    <w:abstractNumId w:val="1"/>
  </w:num>
  <w:num w:numId="2" w16cid:durableId="2086612454">
    <w:abstractNumId w:val="3"/>
  </w:num>
  <w:num w:numId="3" w16cid:durableId="1614165639">
    <w:abstractNumId w:val="2"/>
  </w:num>
  <w:num w:numId="4" w16cid:durableId="666635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IFER RUEDA">
    <w15:presenceInfo w15:providerId="AD" w15:userId="S::jennifer2202268@correo.uis.edu.co::92dac27b-3f7a-4420-a534-465c70721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579"/>
    <w:rsid w:val="000074CC"/>
    <w:rsid w:val="00016452"/>
    <w:rsid w:val="00044ED4"/>
    <w:rsid w:val="00074B17"/>
    <w:rsid w:val="00080C74"/>
    <w:rsid w:val="000E22F7"/>
    <w:rsid w:val="000F5849"/>
    <w:rsid w:val="000F6565"/>
    <w:rsid w:val="00123CAA"/>
    <w:rsid w:val="00152D54"/>
    <w:rsid w:val="001637A1"/>
    <w:rsid w:val="001C2756"/>
    <w:rsid w:val="001D36A6"/>
    <w:rsid w:val="00222151"/>
    <w:rsid w:val="00223A3D"/>
    <w:rsid w:val="00271DFD"/>
    <w:rsid w:val="00272B32"/>
    <w:rsid w:val="00276F35"/>
    <w:rsid w:val="0029786F"/>
    <w:rsid w:val="002A125D"/>
    <w:rsid w:val="002C1494"/>
    <w:rsid w:val="002E0336"/>
    <w:rsid w:val="0036534F"/>
    <w:rsid w:val="0036741E"/>
    <w:rsid w:val="00380031"/>
    <w:rsid w:val="00387622"/>
    <w:rsid w:val="003C4B0A"/>
    <w:rsid w:val="003C51B5"/>
    <w:rsid w:val="003D157F"/>
    <w:rsid w:val="00451389"/>
    <w:rsid w:val="00451F6C"/>
    <w:rsid w:val="00465016"/>
    <w:rsid w:val="0047409D"/>
    <w:rsid w:val="004A4068"/>
    <w:rsid w:val="004E74E4"/>
    <w:rsid w:val="00540D5A"/>
    <w:rsid w:val="0054592E"/>
    <w:rsid w:val="00576165"/>
    <w:rsid w:val="006039F0"/>
    <w:rsid w:val="00622DC5"/>
    <w:rsid w:val="00651DED"/>
    <w:rsid w:val="00697ED9"/>
    <w:rsid w:val="006A506E"/>
    <w:rsid w:val="00794D51"/>
    <w:rsid w:val="007B7D12"/>
    <w:rsid w:val="007C3A86"/>
    <w:rsid w:val="0080642A"/>
    <w:rsid w:val="00814046"/>
    <w:rsid w:val="00814ED0"/>
    <w:rsid w:val="008173B3"/>
    <w:rsid w:val="00842C8F"/>
    <w:rsid w:val="00850BCC"/>
    <w:rsid w:val="008540D3"/>
    <w:rsid w:val="00862705"/>
    <w:rsid w:val="00870118"/>
    <w:rsid w:val="008D20AD"/>
    <w:rsid w:val="008E5050"/>
    <w:rsid w:val="008E627A"/>
    <w:rsid w:val="008E7922"/>
    <w:rsid w:val="008F6536"/>
    <w:rsid w:val="0096208E"/>
    <w:rsid w:val="00A47BE9"/>
    <w:rsid w:val="00A873C3"/>
    <w:rsid w:val="00A87C7F"/>
    <w:rsid w:val="00AA30F2"/>
    <w:rsid w:val="00AB5C04"/>
    <w:rsid w:val="00AE0C38"/>
    <w:rsid w:val="00B02F1C"/>
    <w:rsid w:val="00B5361A"/>
    <w:rsid w:val="00B61176"/>
    <w:rsid w:val="00B713F1"/>
    <w:rsid w:val="00BC0D39"/>
    <w:rsid w:val="00BC43C5"/>
    <w:rsid w:val="00BF2AAA"/>
    <w:rsid w:val="00C14364"/>
    <w:rsid w:val="00C626DE"/>
    <w:rsid w:val="00C82FDB"/>
    <w:rsid w:val="00C93322"/>
    <w:rsid w:val="00C96F12"/>
    <w:rsid w:val="00CB0C2F"/>
    <w:rsid w:val="00CB2BD6"/>
    <w:rsid w:val="00CE1072"/>
    <w:rsid w:val="00CE1DF6"/>
    <w:rsid w:val="00CF3C28"/>
    <w:rsid w:val="00CF77BE"/>
    <w:rsid w:val="00D94C85"/>
    <w:rsid w:val="00DC4CB1"/>
    <w:rsid w:val="00DD13D8"/>
    <w:rsid w:val="00DF40FE"/>
    <w:rsid w:val="00DF6622"/>
    <w:rsid w:val="00EC2D7F"/>
    <w:rsid w:val="00F26D47"/>
    <w:rsid w:val="00F44667"/>
    <w:rsid w:val="00F5303C"/>
    <w:rsid w:val="00F606C8"/>
    <w:rsid w:val="00F65579"/>
    <w:rsid w:val="00FD4F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571F"/>
  <w15:chartTrackingRefBased/>
  <w15:docId w15:val="{360DBCA7-FDAF-4F86-8B64-E378EA76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655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655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6557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6557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6557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6557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6557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6557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6557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557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6557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6557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6557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6557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6557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6557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6557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65579"/>
    <w:rPr>
      <w:rFonts w:eastAsiaTheme="majorEastAsia" w:cstheme="majorBidi"/>
      <w:color w:val="272727" w:themeColor="text1" w:themeTint="D8"/>
    </w:rPr>
  </w:style>
  <w:style w:type="paragraph" w:styleId="Ttulo">
    <w:name w:val="Title"/>
    <w:basedOn w:val="Normal"/>
    <w:next w:val="Normal"/>
    <w:link w:val="TtuloCar"/>
    <w:uiPriority w:val="10"/>
    <w:qFormat/>
    <w:rsid w:val="00F655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6557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6557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6557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65579"/>
    <w:pPr>
      <w:spacing w:before="160"/>
      <w:jc w:val="center"/>
    </w:pPr>
    <w:rPr>
      <w:i/>
      <w:iCs/>
      <w:color w:val="404040" w:themeColor="text1" w:themeTint="BF"/>
    </w:rPr>
  </w:style>
  <w:style w:type="character" w:customStyle="1" w:styleId="CitaCar">
    <w:name w:val="Cita Car"/>
    <w:basedOn w:val="Fuentedeprrafopredeter"/>
    <w:link w:val="Cita"/>
    <w:uiPriority w:val="29"/>
    <w:rsid w:val="00F65579"/>
    <w:rPr>
      <w:i/>
      <w:iCs/>
      <w:color w:val="404040" w:themeColor="text1" w:themeTint="BF"/>
    </w:rPr>
  </w:style>
  <w:style w:type="paragraph" w:styleId="Prrafodelista">
    <w:name w:val="List Paragraph"/>
    <w:basedOn w:val="Normal"/>
    <w:uiPriority w:val="34"/>
    <w:qFormat/>
    <w:rsid w:val="00F65579"/>
    <w:pPr>
      <w:ind w:left="720"/>
      <w:contextualSpacing/>
    </w:pPr>
  </w:style>
  <w:style w:type="character" w:styleId="nfasisintenso">
    <w:name w:val="Intense Emphasis"/>
    <w:basedOn w:val="Fuentedeprrafopredeter"/>
    <w:uiPriority w:val="21"/>
    <w:qFormat/>
    <w:rsid w:val="00F65579"/>
    <w:rPr>
      <w:i/>
      <w:iCs/>
      <w:color w:val="0F4761" w:themeColor="accent1" w:themeShade="BF"/>
    </w:rPr>
  </w:style>
  <w:style w:type="paragraph" w:styleId="Citadestacada">
    <w:name w:val="Intense Quote"/>
    <w:basedOn w:val="Normal"/>
    <w:next w:val="Normal"/>
    <w:link w:val="CitadestacadaCar"/>
    <w:uiPriority w:val="30"/>
    <w:qFormat/>
    <w:rsid w:val="00F655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65579"/>
    <w:rPr>
      <w:i/>
      <w:iCs/>
      <w:color w:val="0F4761" w:themeColor="accent1" w:themeShade="BF"/>
    </w:rPr>
  </w:style>
  <w:style w:type="character" w:styleId="Referenciaintensa">
    <w:name w:val="Intense Reference"/>
    <w:basedOn w:val="Fuentedeprrafopredeter"/>
    <w:uiPriority w:val="32"/>
    <w:qFormat/>
    <w:rsid w:val="00F65579"/>
    <w:rPr>
      <w:b/>
      <w:bCs/>
      <w:smallCaps/>
      <w:color w:val="0F4761" w:themeColor="accent1" w:themeShade="BF"/>
      <w:spacing w:val="5"/>
    </w:rPr>
  </w:style>
  <w:style w:type="character" w:styleId="Refdecomentario">
    <w:name w:val="annotation reference"/>
    <w:basedOn w:val="Fuentedeprrafopredeter"/>
    <w:uiPriority w:val="99"/>
    <w:semiHidden/>
    <w:unhideWhenUsed/>
    <w:rsid w:val="004A4068"/>
    <w:rPr>
      <w:sz w:val="16"/>
      <w:szCs w:val="16"/>
    </w:rPr>
  </w:style>
  <w:style w:type="paragraph" w:styleId="Textocomentario">
    <w:name w:val="annotation text"/>
    <w:basedOn w:val="Normal"/>
    <w:link w:val="TextocomentarioCar"/>
    <w:uiPriority w:val="99"/>
    <w:unhideWhenUsed/>
    <w:rsid w:val="004A4068"/>
    <w:pPr>
      <w:spacing w:line="240" w:lineRule="auto"/>
    </w:pPr>
    <w:rPr>
      <w:sz w:val="20"/>
      <w:szCs w:val="20"/>
    </w:rPr>
  </w:style>
  <w:style w:type="character" w:customStyle="1" w:styleId="TextocomentarioCar">
    <w:name w:val="Texto comentario Car"/>
    <w:basedOn w:val="Fuentedeprrafopredeter"/>
    <w:link w:val="Textocomentario"/>
    <w:uiPriority w:val="99"/>
    <w:rsid w:val="004A4068"/>
    <w:rPr>
      <w:sz w:val="20"/>
      <w:szCs w:val="20"/>
    </w:rPr>
  </w:style>
  <w:style w:type="paragraph" w:styleId="Asuntodelcomentario">
    <w:name w:val="annotation subject"/>
    <w:basedOn w:val="Textocomentario"/>
    <w:next w:val="Textocomentario"/>
    <w:link w:val="AsuntodelcomentarioCar"/>
    <w:uiPriority w:val="99"/>
    <w:semiHidden/>
    <w:unhideWhenUsed/>
    <w:rsid w:val="004A4068"/>
    <w:rPr>
      <w:b/>
      <w:bCs/>
    </w:rPr>
  </w:style>
  <w:style w:type="character" w:customStyle="1" w:styleId="AsuntodelcomentarioCar">
    <w:name w:val="Asunto del comentario Car"/>
    <w:basedOn w:val="TextocomentarioCar"/>
    <w:link w:val="Asuntodelcomentario"/>
    <w:uiPriority w:val="99"/>
    <w:semiHidden/>
    <w:rsid w:val="004A40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701685">
      <w:bodyDiv w:val="1"/>
      <w:marLeft w:val="0"/>
      <w:marRight w:val="0"/>
      <w:marTop w:val="0"/>
      <w:marBottom w:val="0"/>
      <w:divBdr>
        <w:top w:val="none" w:sz="0" w:space="0" w:color="auto"/>
        <w:left w:val="none" w:sz="0" w:space="0" w:color="auto"/>
        <w:bottom w:val="none" w:sz="0" w:space="0" w:color="auto"/>
        <w:right w:val="none" w:sz="0" w:space="0" w:color="auto"/>
      </w:divBdr>
      <w:divsChild>
        <w:div w:id="557403632">
          <w:marLeft w:val="0"/>
          <w:marRight w:val="0"/>
          <w:marTop w:val="0"/>
          <w:marBottom w:val="0"/>
          <w:divBdr>
            <w:top w:val="none" w:sz="0" w:space="0" w:color="auto"/>
            <w:left w:val="none" w:sz="0" w:space="0" w:color="auto"/>
            <w:bottom w:val="none" w:sz="0" w:space="0" w:color="auto"/>
            <w:right w:val="none" w:sz="0" w:space="0" w:color="auto"/>
          </w:divBdr>
        </w:div>
      </w:divsChild>
    </w:div>
    <w:div w:id="1225022510">
      <w:bodyDiv w:val="1"/>
      <w:marLeft w:val="0"/>
      <w:marRight w:val="0"/>
      <w:marTop w:val="0"/>
      <w:marBottom w:val="0"/>
      <w:divBdr>
        <w:top w:val="none" w:sz="0" w:space="0" w:color="auto"/>
        <w:left w:val="none" w:sz="0" w:space="0" w:color="auto"/>
        <w:bottom w:val="none" w:sz="0" w:space="0" w:color="auto"/>
        <w:right w:val="none" w:sz="0" w:space="0" w:color="auto"/>
      </w:divBdr>
    </w:div>
    <w:div w:id="1535771928">
      <w:bodyDiv w:val="1"/>
      <w:marLeft w:val="0"/>
      <w:marRight w:val="0"/>
      <w:marTop w:val="0"/>
      <w:marBottom w:val="0"/>
      <w:divBdr>
        <w:top w:val="none" w:sz="0" w:space="0" w:color="auto"/>
        <w:left w:val="none" w:sz="0" w:space="0" w:color="auto"/>
        <w:bottom w:val="none" w:sz="0" w:space="0" w:color="auto"/>
        <w:right w:val="none" w:sz="0" w:space="0" w:color="auto"/>
      </w:divBdr>
    </w:div>
    <w:div w:id="1964115627">
      <w:bodyDiv w:val="1"/>
      <w:marLeft w:val="0"/>
      <w:marRight w:val="0"/>
      <w:marTop w:val="0"/>
      <w:marBottom w:val="0"/>
      <w:divBdr>
        <w:top w:val="none" w:sz="0" w:space="0" w:color="auto"/>
        <w:left w:val="none" w:sz="0" w:space="0" w:color="auto"/>
        <w:bottom w:val="none" w:sz="0" w:space="0" w:color="auto"/>
        <w:right w:val="none" w:sz="0" w:space="0" w:color="auto"/>
      </w:divBdr>
      <w:divsChild>
        <w:div w:id="1915123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5.png"/><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image" Target="media/image3.png"/><Relationship Id="rId5" Type="http://schemas.openxmlformats.org/officeDocument/2006/relationships/image" Target="media/image1.png"/><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webSettings" Target="webSettings.xml"/><Relationship Id="rId9" Type="http://schemas.microsoft.com/office/2018/08/relationships/commentsExtensible" Target="commentsExtensible.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7</Pages>
  <Words>1562</Words>
  <Characters>8597</Characters>
  <Application>Microsoft Office Word</Application>
  <DocSecurity>0</DocSecurity>
  <Lines>71</Lines>
  <Paragraphs>20</Paragraphs>
  <ScaleCrop>false</ScaleCrop>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89</cp:revision>
  <dcterms:created xsi:type="dcterms:W3CDTF">2024-07-22T20:29:00Z</dcterms:created>
  <dcterms:modified xsi:type="dcterms:W3CDTF">2024-08-06T21:12:00Z</dcterms:modified>
</cp:coreProperties>
</file>